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45" w:lineRule="atLeast"/>
        <w:jc w:val="center"/>
        <w:rPr>
          <w:rFonts w:hint="eastAsia" w:ascii="宋体" w:hAnsi="宋体" w:cs="Arial"/>
          <w:b/>
          <w:color w:val="000000"/>
          <w:kern w:val="0"/>
          <w:sz w:val="32"/>
          <w:szCs w:val="32"/>
          <w:lang w:eastAsia="zh-CN"/>
        </w:rPr>
      </w:pPr>
      <w:r>
        <w:rPr>
          <w:rFonts w:hint="eastAsia" w:ascii="宋体" w:hAnsi="宋体" w:cs="Arial"/>
          <w:b/>
          <w:color w:val="000000"/>
          <w:kern w:val="0"/>
          <w:sz w:val="32"/>
          <w:szCs w:val="32"/>
          <w:lang w:eastAsia="zh-CN"/>
        </w:rPr>
        <w:t>前郭县人民法院</w:t>
      </w:r>
      <w:r>
        <w:rPr>
          <w:rFonts w:ascii="宋体" w:hAnsi="宋体" w:cs="Arial"/>
          <w:b/>
          <w:color w:val="000000"/>
          <w:kern w:val="0"/>
          <w:sz w:val="32"/>
          <w:szCs w:val="32"/>
        </w:rPr>
        <w:t>2017</w:t>
      </w:r>
      <w:r>
        <w:rPr>
          <w:rFonts w:hint="eastAsia" w:ascii="宋体" w:hAnsi="宋体" w:cs="Arial"/>
          <w:b/>
          <w:color w:val="000000"/>
          <w:kern w:val="0"/>
          <w:sz w:val="32"/>
          <w:szCs w:val="32"/>
        </w:rPr>
        <w:t>年</w:t>
      </w:r>
      <w:r>
        <w:rPr>
          <w:rFonts w:hint="eastAsia" w:ascii="宋体" w:hAnsi="宋体" w:cs="Arial"/>
          <w:b/>
          <w:color w:val="000000"/>
          <w:kern w:val="0"/>
          <w:sz w:val="32"/>
          <w:szCs w:val="32"/>
          <w:lang w:eastAsia="zh-CN"/>
        </w:rPr>
        <w:t>第三季度</w:t>
      </w:r>
    </w:p>
    <w:p>
      <w:pPr>
        <w:widowControl/>
        <w:spacing w:line="345" w:lineRule="atLeast"/>
        <w:jc w:val="center"/>
        <w:rPr>
          <w:rFonts w:ascii="宋体" w:cs="Arial"/>
          <w:b/>
          <w:color w:val="000000"/>
          <w:kern w:val="0"/>
          <w:sz w:val="32"/>
          <w:szCs w:val="32"/>
        </w:rPr>
      </w:pPr>
      <w:r>
        <w:rPr>
          <w:rFonts w:hint="eastAsia" w:ascii="宋体" w:hAnsi="宋体" w:cs="Arial"/>
          <w:b/>
          <w:color w:val="000000"/>
          <w:kern w:val="0"/>
          <w:sz w:val="32"/>
          <w:szCs w:val="32"/>
        </w:rPr>
        <w:t>裁判文书上网情况分析报告</w:t>
      </w:r>
    </w:p>
    <w:p>
      <w:pPr>
        <w:widowControl/>
        <w:wordWrap w:val="0"/>
        <w:spacing w:line="345" w:lineRule="atLeast"/>
        <w:jc w:val="left"/>
        <w:rPr>
          <w:rFonts w:ascii="宋体" w:cs="Arial"/>
          <w:color w:val="000000"/>
          <w:kern w:val="0"/>
          <w:sz w:val="32"/>
          <w:szCs w:val="32"/>
        </w:rPr>
      </w:pPr>
    </w:p>
    <w:p>
      <w:pPr>
        <w:widowControl/>
        <w:wordWrap w:val="0"/>
        <w:spacing w:line="345" w:lineRule="atLeast"/>
        <w:ind w:left="320" w:leftChars="76" w:hanging="160" w:hangingChars="50"/>
        <w:jc w:val="left"/>
        <w:rPr>
          <w:rFonts w:ascii="宋体" w:cs="Arial"/>
          <w:color w:val="000000"/>
          <w:kern w:val="0"/>
          <w:sz w:val="32"/>
          <w:szCs w:val="32"/>
        </w:rPr>
      </w:pPr>
      <w:r>
        <w:rPr>
          <w:rFonts w:hint="eastAsia" w:ascii="宋体" w:hAnsi="宋体" w:cs="Arial"/>
          <w:color w:val="000000"/>
          <w:kern w:val="0"/>
          <w:sz w:val="32"/>
          <w:szCs w:val="32"/>
        </w:rPr>
        <w:t>一、</w:t>
      </w:r>
      <w:r>
        <w:rPr>
          <w:rFonts w:hint="eastAsia" w:ascii="宋体" w:hAnsi="宋体" w:cs="Arial"/>
          <w:color w:val="000000"/>
          <w:kern w:val="0"/>
          <w:sz w:val="32"/>
          <w:szCs w:val="32"/>
          <w:lang w:eastAsia="zh-CN"/>
        </w:rPr>
        <w:t>前郭法院</w:t>
      </w:r>
      <w:r>
        <w:rPr>
          <w:rFonts w:hint="eastAsia" w:ascii="宋体" w:hAnsi="宋体" w:cs="Arial"/>
          <w:color w:val="000000"/>
          <w:kern w:val="0"/>
          <w:sz w:val="32"/>
          <w:szCs w:val="32"/>
        </w:rPr>
        <w:t>裁判文书上网情况</w:t>
      </w:r>
      <w:r>
        <w:rPr>
          <w:rFonts w:ascii="宋体" w:cs="Arial"/>
          <w:color w:val="000000"/>
          <w:kern w:val="0"/>
          <w:sz w:val="32"/>
          <w:szCs w:val="32"/>
        </w:rPr>
        <w:br w:type="textWrapping"/>
      </w:r>
      <w:r>
        <w:rPr>
          <w:rFonts w:hint="eastAsia" w:ascii="宋体" w:hAnsi="宋体" w:cs="Arial"/>
          <w:color w:val="000000"/>
          <w:kern w:val="0"/>
          <w:sz w:val="32"/>
          <w:szCs w:val="32"/>
        </w:rPr>
        <w:t>　　截至</w:t>
      </w:r>
      <w:r>
        <w:rPr>
          <w:rFonts w:ascii="宋体" w:hAnsi="宋体" w:cs="Arial"/>
          <w:color w:val="000000"/>
          <w:kern w:val="0"/>
          <w:sz w:val="32"/>
          <w:szCs w:val="32"/>
        </w:rPr>
        <w:t>2017</w:t>
      </w:r>
      <w:r>
        <w:rPr>
          <w:rFonts w:hint="eastAsia" w:ascii="宋体" w:hAnsi="宋体" w:cs="Arial"/>
          <w:color w:val="000000"/>
          <w:kern w:val="0"/>
          <w:sz w:val="32"/>
          <w:szCs w:val="32"/>
        </w:rPr>
        <w:t>年</w:t>
      </w:r>
      <w:r>
        <w:rPr>
          <w:rFonts w:ascii="宋体" w:hAnsi="宋体" w:cs="Arial"/>
          <w:color w:val="000000"/>
          <w:kern w:val="0"/>
          <w:sz w:val="32"/>
          <w:szCs w:val="32"/>
        </w:rPr>
        <w:t>9</w:t>
      </w:r>
      <w:r>
        <w:rPr>
          <w:rFonts w:hint="eastAsia" w:ascii="宋体" w:hAnsi="宋体" w:cs="Arial"/>
          <w:color w:val="000000"/>
          <w:kern w:val="0"/>
          <w:sz w:val="32"/>
          <w:szCs w:val="32"/>
        </w:rPr>
        <w:t>月</w:t>
      </w:r>
      <w:r>
        <w:rPr>
          <w:rFonts w:ascii="宋体" w:hAnsi="宋体" w:cs="Arial"/>
          <w:color w:val="000000"/>
          <w:kern w:val="0"/>
          <w:sz w:val="32"/>
          <w:szCs w:val="32"/>
        </w:rPr>
        <w:t>3</w:t>
      </w:r>
      <w:r>
        <w:rPr>
          <w:rFonts w:ascii="宋体" w:cs="Arial"/>
          <w:color w:val="000000"/>
          <w:kern w:val="0"/>
          <w:sz w:val="32"/>
          <w:szCs w:val="32"/>
        </w:rPr>
        <w:t>0</w:t>
      </w:r>
      <w:r>
        <w:rPr>
          <w:rFonts w:hint="eastAsia" w:ascii="宋体" w:hAnsi="宋体" w:cs="Arial"/>
          <w:color w:val="000000"/>
          <w:kern w:val="0"/>
          <w:sz w:val="32"/>
          <w:szCs w:val="32"/>
        </w:rPr>
        <w:t>日，</w:t>
      </w:r>
      <w:r>
        <w:rPr>
          <w:rFonts w:hint="eastAsia" w:ascii="宋体" w:hAnsi="宋体" w:cs="Arial"/>
          <w:color w:val="000000"/>
          <w:kern w:val="0"/>
          <w:sz w:val="32"/>
          <w:szCs w:val="32"/>
          <w:lang w:eastAsia="zh-CN"/>
        </w:rPr>
        <w:t>前郭县人民法院</w:t>
      </w:r>
      <w:r>
        <w:rPr>
          <w:rFonts w:hint="eastAsia" w:ascii="宋体" w:hAnsi="宋体" w:cs="Arial"/>
          <w:color w:val="000000"/>
          <w:kern w:val="0"/>
          <w:sz w:val="32"/>
          <w:szCs w:val="32"/>
        </w:rPr>
        <w:t>中国裁判文书网累计上传文书</w:t>
      </w:r>
      <w:r>
        <w:rPr>
          <w:rFonts w:hint="eastAsia" w:ascii="宋体" w:hAnsi="宋体" w:cs="Arial"/>
          <w:color w:val="000000"/>
          <w:kern w:val="0"/>
          <w:sz w:val="32"/>
          <w:szCs w:val="32"/>
          <w:lang w:val="en-US" w:eastAsia="zh-CN"/>
        </w:rPr>
        <w:t>3234</w:t>
      </w:r>
      <w:r>
        <w:rPr>
          <w:rFonts w:hint="eastAsia" w:ascii="宋体" w:hAnsi="宋体" w:cs="Arial"/>
          <w:color w:val="000000"/>
          <w:kern w:val="0"/>
          <w:sz w:val="32"/>
          <w:szCs w:val="32"/>
        </w:rPr>
        <w:t>篇，上网率</w:t>
      </w:r>
      <w:r>
        <w:rPr>
          <w:rFonts w:hint="eastAsia" w:ascii="宋体" w:hAnsi="宋体" w:cs="Arial"/>
          <w:color w:val="000000"/>
          <w:kern w:val="0"/>
          <w:sz w:val="32"/>
          <w:szCs w:val="32"/>
          <w:lang w:val="en-US" w:eastAsia="zh-CN"/>
        </w:rPr>
        <w:t>74.57</w:t>
      </w:r>
      <w:r>
        <w:rPr>
          <w:rFonts w:ascii="宋体" w:hAnsi="宋体" w:cs="Arial"/>
          <w:color w:val="000000"/>
          <w:kern w:val="0"/>
          <w:sz w:val="32"/>
          <w:szCs w:val="32"/>
        </w:rPr>
        <w:t>%</w:t>
      </w:r>
      <w:r>
        <w:rPr>
          <w:rFonts w:hint="eastAsia" w:ascii="宋体" w:hAnsi="宋体" w:cs="Arial"/>
          <w:color w:val="000000"/>
          <w:kern w:val="0"/>
          <w:sz w:val="32"/>
          <w:szCs w:val="32"/>
          <w:lang w:eastAsia="zh-CN"/>
        </w:rPr>
        <w:t>。</w:t>
      </w:r>
      <w:bookmarkStart w:id="0" w:name="_GoBack"/>
      <w:bookmarkEnd w:id="0"/>
    </w:p>
    <w:p>
      <w:pPr>
        <w:rPr>
          <w:rFonts w:ascii="宋体" w:cs="Arial"/>
          <w:color w:val="000000"/>
          <w:kern w:val="0"/>
          <w:sz w:val="32"/>
          <w:szCs w:val="32"/>
        </w:rPr>
      </w:pPr>
      <w:r>
        <w:rPr>
          <w:rFonts w:ascii="宋体" w:cs="Arial"/>
          <w:color w:val="000000"/>
          <w:kern w:val="0"/>
          <w:sz w:val="32"/>
          <w:szCs w:val="32"/>
        </w:rPr>
        <w:br w:type="textWrapping"/>
      </w:r>
      <w:r>
        <w:rPr>
          <w:rFonts w:hint="eastAsia" w:ascii="宋体" w:hAnsi="宋体" w:cs="Arial"/>
          <w:color w:val="000000"/>
          <w:kern w:val="0"/>
          <w:sz w:val="32"/>
          <w:szCs w:val="32"/>
        </w:rPr>
        <w:t>二、下步工作</w:t>
      </w:r>
    </w:p>
    <w:p>
      <w:pPr>
        <w:ind w:firstLine="640" w:firstLineChars="200"/>
        <w:rPr>
          <w:rFonts w:ascii="宋体" w:cs="Arial"/>
          <w:color w:val="000000"/>
          <w:kern w:val="0"/>
          <w:sz w:val="32"/>
          <w:szCs w:val="32"/>
        </w:rPr>
      </w:pPr>
      <w:r>
        <w:rPr>
          <w:rFonts w:hint="eastAsia" w:ascii="宋体" w:hAnsi="宋体"/>
          <w:sz w:val="32"/>
          <w:szCs w:val="32"/>
        </w:rPr>
        <w:t>要提高裁判文书上网率的同时更应该注重裁判文书的的制作质量，建议做好以下几个方面的工作：</w:t>
      </w:r>
    </w:p>
    <w:p>
      <w:pPr>
        <w:rPr>
          <w:rFonts w:ascii="宋体"/>
          <w:sz w:val="32"/>
          <w:szCs w:val="32"/>
        </w:rPr>
      </w:pPr>
      <w:r>
        <w:rPr>
          <w:rFonts w:ascii="宋体" w:hAnsi="宋体"/>
          <w:sz w:val="32"/>
          <w:szCs w:val="32"/>
        </w:rPr>
        <w:t xml:space="preserve">    </w:t>
      </w:r>
      <w:r>
        <w:rPr>
          <w:rFonts w:hint="eastAsia" w:ascii="宋体" w:hAnsi="宋体"/>
          <w:b/>
          <w:bCs/>
          <w:sz w:val="32"/>
          <w:szCs w:val="32"/>
        </w:rPr>
        <w:t>一要加强学习培训，提升业务能力。</w:t>
      </w:r>
      <w:r>
        <w:rPr>
          <w:rFonts w:hint="eastAsia" w:ascii="宋体" w:hAnsi="宋体"/>
          <w:sz w:val="32"/>
          <w:szCs w:val="32"/>
        </w:rPr>
        <w:t>要不断更新业务知识，强化新颁布法律、法规学习培训，使法官熟悉掌握法律原则、条文含义和立法精神。同时，经常性开展庭审岗位练兵，定期组织法官观摩规范庭审和集中学习优秀裁判文书，提升庭审驾驭能力及文字工作水平。</w:t>
      </w:r>
    </w:p>
    <w:p>
      <w:pPr>
        <w:rPr>
          <w:rFonts w:ascii="宋体"/>
          <w:sz w:val="32"/>
          <w:szCs w:val="32"/>
        </w:rPr>
      </w:pPr>
      <w:r>
        <w:rPr>
          <w:rFonts w:ascii="宋体" w:hAnsi="宋体"/>
          <w:sz w:val="32"/>
          <w:szCs w:val="32"/>
        </w:rPr>
        <w:t xml:space="preserve">    </w:t>
      </w:r>
      <w:r>
        <w:rPr>
          <w:rFonts w:hint="eastAsia" w:ascii="宋体" w:hAnsi="宋体"/>
          <w:b/>
          <w:bCs/>
          <w:sz w:val="32"/>
          <w:szCs w:val="32"/>
        </w:rPr>
        <w:t>二要完善相关制度，严把文书制作关。</w:t>
      </w:r>
      <w:r>
        <w:rPr>
          <w:rFonts w:hint="eastAsia" w:ascii="宋体" w:hAnsi="宋体"/>
          <w:sz w:val="32"/>
          <w:szCs w:val="32"/>
        </w:rPr>
        <w:t>要进一步完善法律文书审核签发制度，加大案件审核把关力度。要准确把握当事人争议焦点，强化对争议事实认定的说理，深化裁判理由的论证，力争做到表述事实清楚、语法简练、逻辑合理，没有语法错误、针对性强、阐释法律深刻，符合上级法院规定的文书制作要求。</w:t>
      </w:r>
    </w:p>
    <w:p>
      <w:pPr>
        <w:rPr>
          <w:rFonts w:ascii="宋体"/>
          <w:sz w:val="32"/>
          <w:szCs w:val="32"/>
        </w:rPr>
      </w:pPr>
      <w:r>
        <w:rPr>
          <w:rFonts w:ascii="宋体" w:hAnsi="宋体"/>
          <w:sz w:val="32"/>
          <w:szCs w:val="32"/>
        </w:rPr>
        <w:t xml:space="preserve">    </w:t>
      </w:r>
      <w:r>
        <w:rPr>
          <w:rFonts w:hint="eastAsia" w:ascii="宋体" w:hAnsi="宋体"/>
          <w:b/>
          <w:bCs/>
          <w:sz w:val="32"/>
          <w:szCs w:val="32"/>
        </w:rPr>
        <w:t>三要加强审判监督管理，确保整改措施落实到位。</w:t>
      </w:r>
      <w:r>
        <w:rPr>
          <w:rFonts w:hint="eastAsia" w:ascii="宋体" w:hAnsi="宋体"/>
          <w:sz w:val="32"/>
          <w:szCs w:val="32"/>
        </w:rPr>
        <w:t>坚决改变以往将案件评查结果通报反馈后不注意监督检查的工作态度，进一步加大审判监督管理力度，再次提高裁判文书上网率。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6B"/>
    <w:rsid w:val="0004007E"/>
    <w:rsid w:val="000D2F78"/>
    <w:rsid w:val="0018359C"/>
    <w:rsid w:val="00252117"/>
    <w:rsid w:val="002E1660"/>
    <w:rsid w:val="00373760"/>
    <w:rsid w:val="00485ECE"/>
    <w:rsid w:val="0083180A"/>
    <w:rsid w:val="009C606B"/>
    <w:rsid w:val="00A46BF0"/>
    <w:rsid w:val="00D56ACE"/>
    <w:rsid w:val="00E34C6F"/>
    <w:rsid w:val="00ED08D3"/>
    <w:rsid w:val="00FB5C2C"/>
    <w:rsid w:val="03081A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4"/>
    <w:link w:val="3"/>
    <w:semiHidden/>
    <w:locked/>
    <w:uiPriority w:val="99"/>
    <w:rPr>
      <w:rFonts w:cs="Times New Roman"/>
      <w:sz w:val="18"/>
      <w:szCs w:val="18"/>
    </w:rPr>
  </w:style>
  <w:style w:type="character" w:customStyle="1" w:styleId="7">
    <w:name w:val="Footer Char"/>
    <w:basedOn w:val="4"/>
    <w:link w:val="2"/>
    <w:semiHidden/>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2</Pages>
  <Words>112</Words>
  <Characters>645</Characters>
  <Lines>0</Lines>
  <Paragraphs>0</Paragraphs>
  <TotalTime>0</TotalTime>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2017-12-29T02:41:00Z</dcterms:created>
  <dc:creator>微软用户</dc:creator>
  <cp:lastModifiedBy>LENOVO</cp:lastModifiedBy>
  <dcterms:modified xsi:type="dcterms:W3CDTF">2017-12-30T13:16:51Z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