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B2" w:rsidRDefault="004926B2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Theme="minorEastAsia" w:hAnsiTheme="minorEastAsia" w:hint="eastAsi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DD3" w:rsidRDefault="00025DD3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025DD3" w:rsidRDefault="00B17BCD">
      <w:pPr>
        <w:spacing w:line="489" w:lineRule="exact"/>
        <w:ind w:left="1860" w:right="1804" w:hanging="55"/>
        <w:jc w:val="center"/>
        <w:rPr>
          <w:rFonts w:ascii="宋体" w:eastAsia="宋体" w:hAnsi="宋体"/>
          <w:b/>
          <w:sz w:val="43"/>
        </w:rPr>
      </w:pPr>
      <w:r>
        <w:rPr>
          <w:rFonts w:ascii="宋体" w:eastAsia="宋体" w:hAnsi="宋体" w:hint="eastAsia"/>
          <w:b/>
          <w:sz w:val="43"/>
        </w:rPr>
        <w:t>前郭县人民</w:t>
      </w:r>
      <w:r>
        <w:rPr>
          <w:rFonts w:ascii="宋体" w:eastAsia="宋体" w:hAnsi="宋体"/>
          <w:b/>
          <w:sz w:val="43"/>
        </w:rPr>
        <w:t>法院</w:t>
      </w:r>
    </w:p>
    <w:p w:rsidR="00025DD3" w:rsidRDefault="00B17BCD">
      <w:pPr>
        <w:spacing w:line="489" w:lineRule="exact"/>
        <w:ind w:left="1860" w:right="1804" w:hanging="55"/>
        <w:jc w:val="center"/>
        <w:rPr>
          <w:rFonts w:ascii="宋体" w:eastAsia="宋体" w:hAnsi="宋体"/>
          <w:b/>
          <w:sz w:val="43"/>
        </w:rPr>
      </w:pPr>
      <w:r>
        <w:rPr>
          <w:rFonts w:ascii="宋体" w:eastAsia="宋体" w:hAnsi="宋体"/>
          <w:b/>
          <w:sz w:val="43"/>
        </w:rPr>
        <w:t>审判工作运行态势分析报告</w:t>
      </w:r>
    </w:p>
    <w:p w:rsidR="00025DD3" w:rsidRDefault="00025DD3">
      <w:pPr>
        <w:spacing w:line="489" w:lineRule="exact"/>
        <w:ind w:left="1860" w:right="1804" w:hanging="55"/>
        <w:jc w:val="center"/>
        <w:rPr>
          <w:rFonts w:ascii="宋体" w:eastAsia="宋体" w:hAnsi="宋体"/>
          <w:b/>
          <w:sz w:val="43"/>
        </w:rPr>
      </w:pPr>
    </w:p>
    <w:p w:rsidR="00025DD3" w:rsidRDefault="00B17BCD">
      <w:pPr>
        <w:spacing w:line="489" w:lineRule="exact"/>
        <w:ind w:left="1860" w:right="1804" w:hanging="55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b/>
          <w:sz w:val="43"/>
        </w:rPr>
        <w:t xml:space="preserve"> （</w:t>
      </w:r>
      <w:r>
        <w:rPr>
          <w:rFonts w:ascii="宋体" w:eastAsia="宋体" w:hAnsi="宋体"/>
          <w:sz w:val="36"/>
          <w:szCs w:val="36"/>
        </w:rPr>
        <w:t>20</w:t>
      </w:r>
      <w:r w:rsidR="00A83150">
        <w:rPr>
          <w:rFonts w:ascii="宋体" w:eastAsia="宋体" w:hAnsi="宋体" w:hint="eastAsia"/>
          <w:sz w:val="36"/>
          <w:szCs w:val="36"/>
        </w:rPr>
        <w:t>2</w:t>
      </w:r>
      <w:r w:rsidR="00597B61">
        <w:rPr>
          <w:rFonts w:ascii="宋体" w:eastAsia="宋体" w:hAnsi="宋体" w:hint="eastAsia"/>
          <w:sz w:val="36"/>
          <w:szCs w:val="36"/>
        </w:rPr>
        <w:t>3</w:t>
      </w:r>
      <w:r>
        <w:rPr>
          <w:rFonts w:ascii="宋体" w:eastAsia="宋体" w:hAnsi="宋体"/>
          <w:sz w:val="36"/>
          <w:szCs w:val="36"/>
        </w:rPr>
        <w:t>年</w:t>
      </w:r>
      <w:r w:rsidR="00FD431E">
        <w:rPr>
          <w:rFonts w:ascii="宋体" w:eastAsia="宋体" w:hAnsi="宋体" w:hint="eastAsia"/>
          <w:sz w:val="36"/>
          <w:szCs w:val="36"/>
        </w:rPr>
        <w:t>1-</w:t>
      </w:r>
      <w:r w:rsidR="00597B61">
        <w:rPr>
          <w:rFonts w:ascii="宋体" w:eastAsia="宋体" w:hAnsi="宋体" w:hint="eastAsia"/>
          <w:sz w:val="36"/>
          <w:szCs w:val="36"/>
        </w:rPr>
        <w:t>6</w:t>
      </w:r>
      <w:r>
        <w:rPr>
          <w:rFonts w:ascii="宋体" w:eastAsia="宋体" w:hAnsi="宋体" w:hint="eastAsia"/>
          <w:sz w:val="36"/>
          <w:szCs w:val="36"/>
        </w:rPr>
        <w:t>月</w:t>
      </w:r>
      <w:r>
        <w:rPr>
          <w:rFonts w:ascii="宋体" w:eastAsia="宋体" w:hAnsi="宋体" w:hint="eastAsia"/>
          <w:b/>
          <w:sz w:val="43"/>
        </w:rPr>
        <w:t>）</w:t>
      </w:r>
    </w:p>
    <w:p w:rsidR="00025DD3" w:rsidRDefault="00025DD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25DD3" w:rsidRDefault="00025DD3">
      <w:pPr>
        <w:spacing w:line="200" w:lineRule="exact"/>
        <w:rPr>
          <w:rFonts w:ascii="Times New Roman" w:hAnsi="Times New Roman"/>
          <w:sz w:val="24"/>
        </w:rPr>
      </w:pPr>
    </w:p>
    <w:p w:rsidR="00025DD3" w:rsidRDefault="00025DD3">
      <w:pPr>
        <w:spacing w:line="200" w:lineRule="exact"/>
        <w:rPr>
          <w:rFonts w:ascii="Times New Roman" w:hAnsi="Times New Roman"/>
          <w:sz w:val="24"/>
        </w:rPr>
      </w:pPr>
    </w:p>
    <w:p w:rsidR="00025DD3" w:rsidRDefault="00025DD3">
      <w:pPr>
        <w:spacing w:line="200" w:lineRule="exact"/>
        <w:rPr>
          <w:rFonts w:ascii="Times New Roman" w:hAnsi="Times New Roman"/>
          <w:sz w:val="24"/>
        </w:rPr>
      </w:pPr>
    </w:p>
    <w:p w:rsidR="00025DD3" w:rsidRDefault="00025DD3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025DD3" w:rsidRDefault="00B17BCD">
      <w:pPr>
        <w:spacing w:line="366" w:lineRule="exact"/>
        <w:ind w:left="10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前郭法院</w:t>
      </w:r>
      <w:r w:rsidR="00FD431E">
        <w:rPr>
          <w:rFonts w:ascii="黑体" w:eastAsia="黑体" w:hAnsi="黑体" w:hint="eastAsia"/>
          <w:sz w:val="32"/>
          <w:szCs w:val="32"/>
        </w:rPr>
        <w:t>1-</w:t>
      </w:r>
      <w:r w:rsidR="00597B61">
        <w:rPr>
          <w:rFonts w:ascii="黑体" w:eastAsia="黑体" w:hAnsi="黑体" w:hint="eastAsia"/>
          <w:sz w:val="32"/>
          <w:szCs w:val="32"/>
        </w:rPr>
        <w:t>6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/>
          <w:sz w:val="32"/>
          <w:szCs w:val="32"/>
        </w:rPr>
        <w:t>基础审判数据情况</w:t>
      </w:r>
    </w:p>
    <w:p w:rsidR="00025DD3" w:rsidRDefault="00025DD3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25DD3" w:rsidRDefault="00B17BCD">
      <w:pPr>
        <w:spacing w:line="366" w:lineRule="exact"/>
        <w:ind w:left="820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/>
          <w:sz w:val="36"/>
          <w:szCs w:val="36"/>
        </w:rPr>
        <w:t>（一）</w:t>
      </w:r>
      <w:r>
        <w:rPr>
          <w:rFonts w:ascii="楷体" w:eastAsia="楷体" w:hAnsi="楷体" w:hint="eastAsia"/>
          <w:sz w:val="36"/>
          <w:szCs w:val="36"/>
        </w:rPr>
        <w:t>前郭</w:t>
      </w:r>
      <w:r>
        <w:rPr>
          <w:rFonts w:ascii="楷体" w:eastAsia="楷体" w:hAnsi="楷体"/>
          <w:sz w:val="36"/>
          <w:szCs w:val="36"/>
        </w:rPr>
        <w:t>法院收结案情况</w:t>
      </w:r>
    </w:p>
    <w:p w:rsidR="00025DD3" w:rsidRDefault="00025DD3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025DD3" w:rsidRDefault="00B17BCD">
      <w:pPr>
        <w:spacing w:line="366" w:lineRule="exact"/>
        <w:ind w:leftChars="410" w:left="820" w:firstLineChars="97" w:firstLine="310"/>
        <w:rPr>
          <w:rFonts w:ascii="楷体" w:eastAsia="楷体" w:hAnsi="楷体"/>
          <w:sz w:val="32"/>
        </w:rPr>
      </w:pPr>
      <w:r>
        <w:rPr>
          <w:rFonts w:ascii="楷体" w:eastAsia="楷体" w:hAnsi="楷体" w:hint="eastAsia"/>
          <w:sz w:val="32"/>
        </w:rPr>
        <w:t>1.</w:t>
      </w:r>
      <w:r>
        <w:rPr>
          <w:rFonts w:ascii="楷体" w:eastAsia="楷体" w:hAnsi="楷体"/>
          <w:sz w:val="32"/>
        </w:rPr>
        <w:t>收结案总体情况</w:t>
      </w:r>
    </w:p>
    <w:p w:rsidR="00025DD3" w:rsidRDefault="00025DD3">
      <w:pPr>
        <w:spacing w:line="250" w:lineRule="exact"/>
        <w:rPr>
          <w:rFonts w:ascii="Times New Roman" w:eastAsia="Times New Roman" w:hAnsi="Times New Roman"/>
          <w:sz w:val="29"/>
          <w:szCs w:val="29"/>
        </w:rPr>
      </w:pPr>
    </w:p>
    <w:p w:rsidR="00025DD3" w:rsidRPr="008E28A6" w:rsidRDefault="00B17BCD">
      <w:pPr>
        <w:spacing w:line="360" w:lineRule="auto"/>
        <w:ind w:left="1000"/>
        <w:rPr>
          <w:rFonts w:ascii="新宋体" w:eastAsia="新宋体" w:hAnsi="新宋体"/>
          <w:sz w:val="29"/>
          <w:szCs w:val="29"/>
        </w:rPr>
      </w:pPr>
      <w:r w:rsidRPr="008E28A6">
        <w:rPr>
          <w:rFonts w:ascii="新宋体" w:eastAsia="新宋体" w:hAnsi="新宋体" w:hint="eastAsia"/>
          <w:sz w:val="29"/>
          <w:szCs w:val="29"/>
        </w:rPr>
        <w:t>截止到</w:t>
      </w:r>
      <w:r w:rsidR="00597B61">
        <w:rPr>
          <w:rFonts w:ascii="新宋体" w:eastAsia="新宋体" w:hAnsi="新宋体" w:hint="eastAsia"/>
          <w:sz w:val="29"/>
          <w:szCs w:val="29"/>
        </w:rPr>
        <w:t>6</w:t>
      </w:r>
      <w:r w:rsidRPr="008E28A6">
        <w:rPr>
          <w:rFonts w:ascii="新宋体" w:eastAsia="新宋体" w:hAnsi="新宋体" w:hint="eastAsia"/>
          <w:sz w:val="29"/>
          <w:szCs w:val="29"/>
        </w:rPr>
        <w:t>月3</w:t>
      </w:r>
      <w:r w:rsidR="00597B61">
        <w:rPr>
          <w:rFonts w:ascii="新宋体" w:eastAsia="新宋体" w:hAnsi="新宋体" w:hint="eastAsia"/>
          <w:sz w:val="29"/>
          <w:szCs w:val="29"/>
        </w:rPr>
        <w:t>0</w:t>
      </w:r>
      <w:r w:rsidRPr="008E28A6">
        <w:rPr>
          <w:rFonts w:ascii="新宋体" w:eastAsia="新宋体" w:hAnsi="新宋体" w:hint="eastAsia"/>
          <w:sz w:val="29"/>
          <w:szCs w:val="29"/>
        </w:rPr>
        <w:t>日，前郭</w:t>
      </w:r>
      <w:r w:rsidRPr="008E28A6">
        <w:rPr>
          <w:rFonts w:ascii="新宋体" w:eastAsia="新宋体" w:hAnsi="新宋体"/>
          <w:sz w:val="29"/>
          <w:szCs w:val="29"/>
        </w:rPr>
        <w:t>法院受理各类案件</w:t>
      </w:r>
      <w:r w:rsidR="00597B61">
        <w:rPr>
          <w:rFonts w:asciiTheme="minorEastAsia" w:eastAsia="新宋体" w:hAnsiTheme="minorEastAsia" w:hint="eastAsia"/>
          <w:sz w:val="29"/>
          <w:szCs w:val="29"/>
        </w:rPr>
        <w:t>6901</w:t>
      </w:r>
      <w:r w:rsidRPr="008E28A6">
        <w:rPr>
          <w:rFonts w:ascii="新宋体" w:eastAsia="新宋体" w:hAnsi="新宋体"/>
          <w:sz w:val="29"/>
          <w:szCs w:val="29"/>
        </w:rPr>
        <w:t>件，同比</w:t>
      </w:r>
      <w:r w:rsidR="00597B61">
        <w:rPr>
          <w:rFonts w:ascii="新宋体" w:eastAsia="新宋体" w:hAnsi="新宋体" w:hint="eastAsia"/>
          <w:sz w:val="29"/>
          <w:szCs w:val="29"/>
        </w:rPr>
        <w:t>上升</w:t>
      </w:r>
    </w:p>
    <w:p w:rsidR="00025DD3" w:rsidRPr="00755DAF" w:rsidRDefault="00597B61">
      <w:pPr>
        <w:spacing w:line="360" w:lineRule="auto"/>
        <w:ind w:leftChars="73" w:left="146" w:firstLineChars="50" w:firstLine="145"/>
        <w:rPr>
          <w:rFonts w:ascii="新宋体" w:eastAsia="新宋体" w:hAnsi="新宋体"/>
          <w:color w:val="FF0000"/>
          <w:sz w:val="29"/>
          <w:szCs w:val="29"/>
        </w:rPr>
      </w:pPr>
      <w:r>
        <w:rPr>
          <w:rFonts w:ascii="新宋体" w:eastAsia="新宋体" w:hAnsi="新宋体" w:hint="eastAsia"/>
          <w:sz w:val="29"/>
          <w:szCs w:val="29"/>
        </w:rPr>
        <w:t>32.69%</w:t>
      </w:r>
      <w:r w:rsidR="00B17BCD" w:rsidRPr="008E28A6">
        <w:rPr>
          <w:rFonts w:ascii="新宋体" w:eastAsia="新宋体" w:hAnsi="新宋体"/>
          <w:sz w:val="29"/>
          <w:szCs w:val="29"/>
        </w:rPr>
        <w:t xml:space="preserve">；旧存案件 </w:t>
      </w:r>
      <w:r>
        <w:rPr>
          <w:rFonts w:ascii="新宋体" w:eastAsia="新宋体" w:hAnsi="新宋体" w:hint="eastAsia"/>
          <w:sz w:val="29"/>
          <w:szCs w:val="29"/>
        </w:rPr>
        <w:t>768</w:t>
      </w:r>
      <w:r w:rsidR="00B17BCD" w:rsidRPr="008E28A6">
        <w:rPr>
          <w:rFonts w:ascii="新宋体" w:eastAsia="新宋体" w:hAnsi="新宋体"/>
          <w:sz w:val="29"/>
          <w:szCs w:val="29"/>
        </w:rPr>
        <w:t>件，同比</w:t>
      </w:r>
      <w:r w:rsidR="00C84887">
        <w:rPr>
          <w:rFonts w:ascii="新宋体" w:eastAsia="新宋体" w:hAnsi="新宋体" w:hint="eastAsia"/>
          <w:sz w:val="29"/>
          <w:szCs w:val="29"/>
        </w:rPr>
        <w:t>上升</w:t>
      </w:r>
      <w:r>
        <w:rPr>
          <w:rFonts w:ascii="新宋体" w:eastAsia="新宋体" w:hAnsi="新宋体" w:hint="eastAsia"/>
          <w:sz w:val="29"/>
          <w:szCs w:val="29"/>
        </w:rPr>
        <w:t>4.63%</w:t>
      </w:r>
      <w:r w:rsidR="00B17BCD" w:rsidRPr="008E28A6">
        <w:rPr>
          <w:rFonts w:ascii="新宋体" w:eastAsia="新宋体" w:hAnsi="新宋体"/>
          <w:sz w:val="29"/>
          <w:szCs w:val="29"/>
        </w:rPr>
        <w:t>；新</w:t>
      </w:r>
      <w:r w:rsidR="00B17BCD">
        <w:rPr>
          <w:rFonts w:ascii="新宋体" w:eastAsia="新宋体" w:hAnsi="新宋体"/>
          <w:sz w:val="29"/>
          <w:szCs w:val="29"/>
        </w:rPr>
        <w:t>收案件</w:t>
      </w:r>
      <w:r>
        <w:rPr>
          <w:rFonts w:ascii="新宋体" w:eastAsia="新宋体" w:hAnsi="新宋体" w:hint="eastAsia"/>
          <w:sz w:val="29"/>
          <w:szCs w:val="29"/>
        </w:rPr>
        <w:t>6133</w:t>
      </w:r>
      <w:r w:rsidR="00B17BCD">
        <w:rPr>
          <w:rFonts w:ascii="新宋体" w:eastAsia="新宋体" w:hAnsi="新宋体"/>
          <w:sz w:val="29"/>
          <w:szCs w:val="29"/>
        </w:rPr>
        <w:t>件，同比</w:t>
      </w:r>
      <w:r>
        <w:rPr>
          <w:rFonts w:ascii="新宋体" w:eastAsia="新宋体" w:hAnsi="新宋体" w:hint="eastAsia"/>
          <w:sz w:val="29"/>
          <w:szCs w:val="29"/>
        </w:rPr>
        <w:t>上升37.30%</w:t>
      </w:r>
      <w:r w:rsidR="00B17BCD">
        <w:rPr>
          <w:rFonts w:ascii="新宋体" w:eastAsia="新宋体" w:hAnsi="新宋体"/>
          <w:sz w:val="29"/>
          <w:szCs w:val="29"/>
        </w:rPr>
        <w:t>；审</w:t>
      </w:r>
      <w:r w:rsidR="00B17BCD">
        <w:rPr>
          <w:rFonts w:ascii="新宋体" w:eastAsia="新宋体" w:hAnsi="新宋体" w:hint="eastAsia"/>
          <w:sz w:val="29"/>
          <w:szCs w:val="29"/>
        </w:rPr>
        <w:t>执</w:t>
      </w:r>
      <w:r w:rsidR="00B17BCD">
        <w:rPr>
          <w:rFonts w:ascii="新宋体" w:eastAsia="新宋体" w:hAnsi="新宋体"/>
          <w:sz w:val="29"/>
          <w:szCs w:val="29"/>
        </w:rPr>
        <w:t>结案</w:t>
      </w:r>
      <w:r w:rsidR="00B17BCD" w:rsidRPr="008E28A6">
        <w:rPr>
          <w:rFonts w:ascii="新宋体" w:eastAsia="新宋体" w:hAnsi="新宋体"/>
          <w:sz w:val="29"/>
          <w:szCs w:val="29"/>
        </w:rPr>
        <w:t>件</w:t>
      </w:r>
      <w:r>
        <w:rPr>
          <w:rFonts w:ascii="新宋体" w:eastAsia="新宋体" w:hAnsi="新宋体" w:hint="eastAsia"/>
          <w:sz w:val="29"/>
          <w:szCs w:val="29"/>
        </w:rPr>
        <w:t>6214</w:t>
      </w:r>
      <w:r w:rsidR="00B17BCD">
        <w:rPr>
          <w:rFonts w:ascii="新宋体" w:eastAsia="新宋体" w:hAnsi="新宋体"/>
          <w:sz w:val="29"/>
          <w:szCs w:val="29"/>
        </w:rPr>
        <w:t>件，同比</w:t>
      </w:r>
      <w:r>
        <w:rPr>
          <w:rFonts w:ascii="新宋体" w:eastAsia="新宋体" w:hAnsi="新宋体" w:hint="eastAsia"/>
          <w:sz w:val="29"/>
          <w:szCs w:val="29"/>
        </w:rPr>
        <w:t>上升41.30%</w:t>
      </w:r>
      <w:r w:rsidR="00B17BCD" w:rsidRPr="00755DAF">
        <w:rPr>
          <w:rFonts w:ascii="新宋体" w:eastAsia="新宋体" w:hAnsi="新宋体"/>
          <w:sz w:val="29"/>
          <w:szCs w:val="29"/>
        </w:rPr>
        <w:t>；未结案件</w:t>
      </w:r>
      <w:r>
        <w:rPr>
          <w:rFonts w:ascii="新宋体" w:eastAsia="新宋体" w:hAnsi="新宋体" w:hint="eastAsia"/>
          <w:sz w:val="29"/>
          <w:szCs w:val="29"/>
        </w:rPr>
        <w:t>684</w:t>
      </w:r>
      <w:r w:rsidR="00B17BCD" w:rsidRPr="00755DAF">
        <w:rPr>
          <w:rFonts w:ascii="新宋体" w:eastAsia="新宋体" w:hAnsi="新宋体"/>
          <w:sz w:val="29"/>
          <w:szCs w:val="29"/>
        </w:rPr>
        <w:t>件，</w:t>
      </w:r>
      <w:r>
        <w:rPr>
          <w:rFonts w:ascii="新宋体" w:eastAsia="新宋体" w:hAnsi="新宋体" w:hint="eastAsia"/>
          <w:sz w:val="29"/>
          <w:szCs w:val="29"/>
        </w:rPr>
        <w:t>同比下降14.61%</w:t>
      </w:r>
      <w:r w:rsidR="00B17BCD" w:rsidRPr="00755DAF">
        <w:rPr>
          <w:rFonts w:ascii="新宋体" w:eastAsia="新宋体" w:hAnsi="新宋体"/>
          <w:sz w:val="29"/>
          <w:szCs w:val="29"/>
        </w:rPr>
        <w:t>；结收比为</w:t>
      </w:r>
      <w:r>
        <w:rPr>
          <w:rFonts w:ascii="新宋体" w:eastAsia="新宋体" w:hAnsi="新宋体" w:hint="eastAsia"/>
          <w:sz w:val="29"/>
          <w:szCs w:val="29"/>
        </w:rPr>
        <w:t>101.30%</w:t>
      </w:r>
      <w:r w:rsidR="00B17BCD" w:rsidRPr="00755DAF">
        <w:rPr>
          <w:rFonts w:ascii="新宋体" w:eastAsia="新宋体" w:hAnsi="新宋体"/>
          <w:sz w:val="29"/>
          <w:szCs w:val="29"/>
        </w:rPr>
        <w:t>，</w:t>
      </w:r>
      <w:r w:rsidR="00B17BCD" w:rsidRPr="00755DAF">
        <w:rPr>
          <w:rFonts w:ascii="新宋体" w:eastAsia="新宋体" w:hAnsi="新宋体" w:hint="eastAsia"/>
          <w:sz w:val="29"/>
          <w:szCs w:val="29"/>
        </w:rPr>
        <w:t>全省排名第</w:t>
      </w:r>
      <w:r>
        <w:rPr>
          <w:rFonts w:ascii="新宋体" w:eastAsia="新宋体" w:hAnsi="新宋体" w:hint="eastAsia"/>
          <w:sz w:val="29"/>
          <w:szCs w:val="29"/>
        </w:rPr>
        <w:t>3</w:t>
      </w:r>
      <w:r w:rsidR="00B17BCD" w:rsidRPr="00755DAF">
        <w:rPr>
          <w:rFonts w:ascii="新宋体" w:eastAsia="新宋体" w:hAnsi="新宋体" w:hint="eastAsia"/>
          <w:sz w:val="29"/>
          <w:szCs w:val="29"/>
        </w:rPr>
        <w:t>位，全市排名第</w:t>
      </w:r>
      <w:r>
        <w:rPr>
          <w:rFonts w:ascii="新宋体" w:eastAsia="新宋体" w:hAnsi="新宋体" w:hint="eastAsia"/>
          <w:sz w:val="29"/>
          <w:szCs w:val="29"/>
        </w:rPr>
        <w:t>1</w:t>
      </w:r>
      <w:r w:rsidR="00B17BCD" w:rsidRPr="00755DAF">
        <w:rPr>
          <w:rFonts w:ascii="新宋体" w:eastAsia="新宋体" w:hAnsi="新宋体" w:hint="eastAsia"/>
          <w:sz w:val="29"/>
          <w:szCs w:val="29"/>
        </w:rPr>
        <w:t>位</w:t>
      </w:r>
      <w:r w:rsidR="00B17BCD" w:rsidRPr="00755DAF">
        <w:rPr>
          <w:rFonts w:ascii="新宋体" w:eastAsia="新宋体" w:hAnsi="新宋体"/>
          <w:sz w:val="29"/>
          <w:szCs w:val="29"/>
        </w:rPr>
        <w:t>；结案率为</w:t>
      </w:r>
      <w:r>
        <w:rPr>
          <w:rFonts w:ascii="新宋体" w:eastAsia="新宋体" w:hAnsi="新宋体" w:hint="eastAsia"/>
          <w:sz w:val="29"/>
          <w:szCs w:val="29"/>
        </w:rPr>
        <w:t>90.09</w:t>
      </w:r>
      <w:r w:rsidR="00B17BCD" w:rsidRPr="00755DAF">
        <w:rPr>
          <w:rFonts w:ascii="新宋体" w:eastAsia="新宋体" w:hAnsi="新宋体"/>
          <w:sz w:val="29"/>
          <w:szCs w:val="29"/>
        </w:rPr>
        <w:t>%，</w:t>
      </w:r>
      <w:r w:rsidR="00B17BCD" w:rsidRPr="00755DAF">
        <w:rPr>
          <w:rFonts w:ascii="新宋体" w:eastAsia="新宋体" w:hAnsi="新宋体" w:hint="eastAsia"/>
          <w:sz w:val="29"/>
          <w:szCs w:val="29"/>
        </w:rPr>
        <w:t>全省排名第</w:t>
      </w:r>
      <w:r>
        <w:rPr>
          <w:rFonts w:ascii="新宋体" w:eastAsia="新宋体" w:hAnsi="新宋体" w:hint="eastAsia"/>
          <w:sz w:val="29"/>
          <w:szCs w:val="29"/>
        </w:rPr>
        <w:t>38</w:t>
      </w:r>
      <w:r w:rsidR="00B17BCD">
        <w:rPr>
          <w:rFonts w:ascii="新宋体" w:eastAsia="新宋体" w:hAnsi="新宋体" w:hint="eastAsia"/>
          <w:sz w:val="29"/>
          <w:szCs w:val="29"/>
        </w:rPr>
        <w:t>位，全市排名第</w:t>
      </w:r>
      <w:r>
        <w:rPr>
          <w:rFonts w:ascii="新宋体" w:eastAsia="新宋体" w:hAnsi="新宋体" w:hint="eastAsia"/>
          <w:sz w:val="29"/>
          <w:szCs w:val="29"/>
        </w:rPr>
        <w:t>3位</w:t>
      </w:r>
      <w:r w:rsidR="003B1481">
        <w:rPr>
          <w:rFonts w:ascii="新宋体" w:eastAsia="新宋体" w:hAnsi="新宋体" w:hint="eastAsia"/>
          <w:sz w:val="29"/>
          <w:szCs w:val="29"/>
        </w:rPr>
        <w:t>，同比上升5.43%</w:t>
      </w:r>
      <w:r w:rsidR="00B17BCD" w:rsidRPr="00755DAF">
        <w:rPr>
          <w:rFonts w:ascii="新宋体" w:eastAsia="新宋体" w:hAnsi="新宋体" w:hint="eastAsia"/>
          <w:sz w:val="29"/>
          <w:szCs w:val="29"/>
        </w:rPr>
        <w:t>；</w:t>
      </w:r>
      <w:r w:rsidR="00B17BCD" w:rsidRPr="00755DAF">
        <w:rPr>
          <w:rFonts w:ascii="新宋体" w:eastAsia="新宋体" w:hAnsi="新宋体"/>
          <w:sz w:val="29"/>
          <w:szCs w:val="29"/>
        </w:rPr>
        <w:t>人均受案</w:t>
      </w:r>
      <w:r>
        <w:rPr>
          <w:rFonts w:ascii="新宋体" w:eastAsia="新宋体" w:hAnsi="新宋体" w:hint="eastAsia"/>
          <w:sz w:val="29"/>
          <w:szCs w:val="29"/>
        </w:rPr>
        <w:t>132.71</w:t>
      </w:r>
      <w:r w:rsidR="00B17BCD" w:rsidRPr="00755DAF">
        <w:rPr>
          <w:rFonts w:ascii="新宋体" w:eastAsia="新宋体" w:hAnsi="新宋体"/>
          <w:sz w:val="29"/>
          <w:szCs w:val="29"/>
        </w:rPr>
        <w:t>件，人均结案</w:t>
      </w:r>
      <w:r>
        <w:rPr>
          <w:rFonts w:ascii="新宋体" w:eastAsia="新宋体" w:hAnsi="新宋体" w:hint="eastAsia"/>
          <w:sz w:val="29"/>
          <w:szCs w:val="29"/>
        </w:rPr>
        <w:t>119.56</w:t>
      </w:r>
      <w:r w:rsidR="00B17BCD" w:rsidRPr="00755DAF">
        <w:rPr>
          <w:rFonts w:ascii="新宋体" w:eastAsia="新宋体" w:hAnsi="新宋体"/>
          <w:sz w:val="29"/>
          <w:szCs w:val="29"/>
        </w:rPr>
        <w:t>件。</w:t>
      </w:r>
    </w:p>
    <w:p w:rsidR="00025DD3" w:rsidRDefault="00025DD3">
      <w:pPr>
        <w:spacing w:line="274" w:lineRule="exact"/>
        <w:rPr>
          <w:rFonts w:ascii="宋体" w:eastAsia="宋体" w:hAnsi="宋体"/>
          <w:b/>
          <w:sz w:val="24"/>
        </w:rPr>
      </w:pPr>
    </w:p>
    <w:p w:rsidR="00025DD3" w:rsidRDefault="00B17BCD" w:rsidP="007A5580">
      <w:pPr>
        <w:spacing w:line="274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20</w:t>
      </w:r>
      <w:r w:rsidR="00A83150">
        <w:rPr>
          <w:rFonts w:ascii="华文仿宋" w:eastAsia="华文仿宋" w:hAnsi="华文仿宋" w:hint="eastAsia"/>
          <w:b/>
          <w:sz w:val="28"/>
          <w:szCs w:val="28"/>
        </w:rPr>
        <w:t>2</w:t>
      </w:r>
      <w:r w:rsidR="00597B61">
        <w:rPr>
          <w:rFonts w:ascii="华文仿宋" w:eastAsia="华文仿宋" w:hAnsi="华文仿宋" w:hint="eastAsia"/>
          <w:b/>
          <w:sz w:val="28"/>
          <w:szCs w:val="28"/>
        </w:rPr>
        <w:t>3</w:t>
      </w:r>
      <w:r>
        <w:rPr>
          <w:rFonts w:ascii="华文仿宋" w:eastAsia="华文仿宋" w:hAnsi="华文仿宋"/>
          <w:b/>
          <w:sz w:val="28"/>
          <w:szCs w:val="28"/>
        </w:rPr>
        <w:t>年</w:t>
      </w:r>
      <w:r w:rsidR="00A83150">
        <w:rPr>
          <w:rFonts w:ascii="华文仿宋" w:eastAsia="华文仿宋" w:hAnsi="华文仿宋" w:hint="eastAsia"/>
          <w:b/>
          <w:sz w:val="28"/>
          <w:szCs w:val="28"/>
        </w:rPr>
        <w:t>1-</w:t>
      </w:r>
      <w:r w:rsidR="00472A66">
        <w:rPr>
          <w:rFonts w:ascii="华文仿宋" w:eastAsia="华文仿宋" w:hAnsi="华文仿宋" w:hint="eastAsia"/>
          <w:b/>
          <w:sz w:val="28"/>
          <w:szCs w:val="28"/>
        </w:rPr>
        <w:t>6</w:t>
      </w:r>
      <w:r>
        <w:rPr>
          <w:rFonts w:ascii="华文仿宋" w:eastAsia="华文仿宋" w:hAnsi="华文仿宋" w:hint="eastAsia"/>
          <w:b/>
          <w:sz w:val="28"/>
          <w:szCs w:val="28"/>
        </w:rPr>
        <w:t>月前郭</w:t>
      </w:r>
      <w:r>
        <w:rPr>
          <w:rFonts w:ascii="华文仿宋" w:eastAsia="华文仿宋" w:hAnsi="华文仿宋"/>
          <w:b/>
          <w:sz w:val="28"/>
          <w:szCs w:val="28"/>
        </w:rPr>
        <w:t>法院收结案情况图</w:t>
      </w:r>
    </w:p>
    <w:p w:rsidR="00025DD3" w:rsidRDefault="00A83150">
      <w:pPr>
        <w:pStyle w:val="a8"/>
      </w:pPr>
      <w:r w:rsidRPr="00A83150">
        <w:rPr>
          <w:noProof/>
        </w:rPr>
        <w:drawing>
          <wp:inline distT="0" distB="0" distL="0" distR="0">
            <wp:extent cx="3581400" cy="2609851"/>
            <wp:effectExtent l="19050" t="0" r="1905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5DD3" w:rsidRDefault="00025DD3">
      <w:pPr>
        <w:spacing w:line="20" w:lineRule="exact"/>
        <w:rPr>
          <w:rFonts w:ascii="Times New Roman" w:eastAsia="Times New Roman" w:hAnsi="Times New Roman"/>
        </w:rPr>
      </w:pPr>
    </w:p>
    <w:p w:rsidR="00025DD3" w:rsidRDefault="00025DD3">
      <w:pPr>
        <w:pStyle w:val="a8"/>
      </w:pPr>
    </w:p>
    <w:p w:rsidR="00025DD3" w:rsidRDefault="00025DD3"/>
    <w:p w:rsidR="00025DD3" w:rsidRDefault="00025DD3">
      <w:pPr>
        <w:spacing w:line="360" w:lineRule="auto"/>
        <w:ind w:left="1000"/>
        <w:rPr>
          <w:rFonts w:ascii="Courier New" w:hAnsi="Courier New"/>
          <w:b/>
          <w:sz w:val="32"/>
        </w:rPr>
      </w:pPr>
    </w:p>
    <w:p w:rsidR="00025DD3" w:rsidRDefault="00B17BCD">
      <w:pPr>
        <w:spacing w:line="360" w:lineRule="auto"/>
        <w:ind w:firstLineChars="250" w:firstLine="800"/>
        <w:rPr>
          <w:rFonts w:ascii="楷体" w:eastAsia="楷体" w:hAnsi="楷体"/>
          <w:color w:val="000000" w:themeColor="text1"/>
          <w:sz w:val="32"/>
        </w:rPr>
      </w:pPr>
      <w:r>
        <w:rPr>
          <w:rFonts w:ascii="楷体" w:eastAsia="楷体" w:hAnsi="楷体"/>
          <w:color w:val="000000" w:themeColor="text1"/>
          <w:sz w:val="32"/>
        </w:rPr>
        <w:t>2.诉讼、执行案件收结案情况</w:t>
      </w:r>
    </w:p>
    <w:p w:rsidR="00025DD3" w:rsidRDefault="00B17BCD" w:rsidP="00ED7C94">
      <w:pPr>
        <w:spacing w:line="360" w:lineRule="auto"/>
        <w:ind w:firstLineChars="250" w:firstLine="725"/>
        <w:rPr>
          <w:rFonts w:ascii="新宋体" w:eastAsia="新宋体" w:hAnsi="新宋体"/>
          <w:sz w:val="29"/>
          <w:szCs w:val="29"/>
        </w:rPr>
      </w:pPr>
      <w:r>
        <w:rPr>
          <w:rFonts w:ascii="新宋体" w:eastAsia="新宋体" w:hAnsi="新宋体" w:hint="eastAsia"/>
          <w:sz w:val="29"/>
          <w:szCs w:val="29"/>
        </w:rPr>
        <w:t>前郭</w:t>
      </w:r>
      <w:r>
        <w:rPr>
          <w:rFonts w:ascii="新宋体" w:eastAsia="新宋体" w:hAnsi="新宋体"/>
          <w:sz w:val="29"/>
          <w:szCs w:val="29"/>
        </w:rPr>
        <w:t>法院受理诉讼案件</w:t>
      </w:r>
      <w:r w:rsidR="00472A66">
        <w:rPr>
          <w:rFonts w:ascii="新宋体" w:eastAsia="新宋体" w:hAnsi="新宋体" w:hint="eastAsia"/>
          <w:sz w:val="29"/>
          <w:szCs w:val="29"/>
        </w:rPr>
        <w:t>4492</w:t>
      </w:r>
      <w:r>
        <w:rPr>
          <w:rFonts w:ascii="新宋体" w:eastAsia="新宋体" w:hAnsi="新宋体"/>
          <w:sz w:val="29"/>
          <w:szCs w:val="29"/>
        </w:rPr>
        <w:t>件，占</w:t>
      </w:r>
      <w:r>
        <w:rPr>
          <w:rFonts w:ascii="新宋体" w:eastAsia="新宋体" w:hAnsi="新宋体" w:hint="eastAsia"/>
          <w:sz w:val="29"/>
          <w:szCs w:val="29"/>
        </w:rPr>
        <w:t>前郭法院</w:t>
      </w:r>
      <w:r>
        <w:rPr>
          <w:rFonts w:ascii="新宋体" w:eastAsia="新宋体" w:hAnsi="新宋体"/>
          <w:sz w:val="29"/>
          <w:szCs w:val="29"/>
        </w:rPr>
        <w:t>受案总数</w:t>
      </w:r>
      <w:r>
        <w:rPr>
          <w:rFonts w:ascii="新宋体" w:eastAsia="新宋体" w:hAnsi="新宋体"/>
          <w:color w:val="000000" w:themeColor="text1"/>
          <w:sz w:val="29"/>
          <w:szCs w:val="29"/>
        </w:rPr>
        <w:t>的</w:t>
      </w:r>
      <w:r w:rsidR="00472A66">
        <w:rPr>
          <w:rFonts w:ascii="新宋体" w:eastAsia="新宋体" w:hAnsi="新宋体" w:hint="eastAsia"/>
          <w:color w:val="000000" w:themeColor="text1"/>
          <w:sz w:val="29"/>
          <w:szCs w:val="29"/>
        </w:rPr>
        <w:t>65.09</w:t>
      </w:r>
      <w:r>
        <w:rPr>
          <w:rFonts w:ascii="新宋体" w:eastAsia="新宋体" w:hAnsi="新宋体"/>
          <w:color w:val="000000" w:themeColor="text1"/>
          <w:sz w:val="29"/>
          <w:szCs w:val="29"/>
        </w:rPr>
        <w:t>，</w:t>
      </w:r>
      <w:r>
        <w:rPr>
          <w:rFonts w:ascii="新宋体" w:eastAsia="新宋体" w:hAnsi="新宋体"/>
          <w:sz w:val="29"/>
          <w:szCs w:val="29"/>
        </w:rPr>
        <w:t>其中，</w:t>
      </w:r>
      <w:r>
        <w:rPr>
          <w:rFonts w:ascii="新宋体" w:eastAsia="新宋体" w:hAnsi="新宋体" w:hint="eastAsia"/>
          <w:sz w:val="29"/>
          <w:szCs w:val="29"/>
        </w:rPr>
        <w:t>旧存案件</w:t>
      </w:r>
      <w:r w:rsidR="00472A66">
        <w:rPr>
          <w:rFonts w:ascii="新宋体" w:eastAsia="新宋体" w:hAnsi="新宋体" w:hint="eastAsia"/>
          <w:sz w:val="29"/>
          <w:szCs w:val="29"/>
        </w:rPr>
        <w:t>666</w:t>
      </w:r>
      <w:r w:rsidR="00DC1B3B">
        <w:rPr>
          <w:rFonts w:ascii="新宋体" w:eastAsia="新宋体" w:hAnsi="新宋体" w:hint="eastAsia"/>
          <w:sz w:val="29"/>
          <w:szCs w:val="29"/>
        </w:rPr>
        <w:t>件，同比上升</w:t>
      </w:r>
      <w:r w:rsidR="00472A66">
        <w:rPr>
          <w:rFonts w:ascii="新宋体" w:eastAsia="新宋体" w:hAnsi="新宋体" w:hint="eastAsia"/>
          <w:sz w:val="29"/>
          <w:szCs w:val="29"/>
        </w:rPr>
        <w:t>4.55%</w:t>
      </w:r>
      <w:r>
        <w:rPr>
          <w:rFonts w:ascii="新宋体" w:eastAsia="新宋体" w:hAnsi="新宋体" w:hint="eastAsia"/>
          <w:sz w:val="29"/>
          <w:szCs w:val="29"/>
        </w:rPr>
        <w:t>，</w:t>
      </w:r>
      <w:r>
        <w:rPr>
          <w:rFonts w:ascii="新宋体" w:eastAsia="新宋体" w:hAnsi="新宋体"/>
          <w:sz w:val="29"/>
          <w:szCs w:val="29"/>
        </w:rPr>
        <w:t>新收</w:t>
      </w:r>
      <w:r>
        <w:rPr>
          <w:rFonts w:ascii="新宋体" w:eastAsia="新宋体" w:hAnsi="新宋体" w:hint="eastAsia"/>
          <w:sz w:val="29"/>
          <w:szCs w:val="29"/>
        </w:rPr>
        <w:t>案</w:t>
      </w:r>
      <w:r>
        <w:rPr>
          <w:rFonts w:ascii="新宋体" w:eastAsia="新宋体" w:hAnsi="新宋体"/>
          <w:sz w:val="29"/>
          <w:szCs w:val="29"/>
        </w:rPr>
        <w:t>件</w:t>
      </w:r>
      <w:r w:rsidR="00472A66">
        <w:rPr>
          <w:rFonts w:ascii="新宋体" w:eastAsia="新宋体" w:hAnsi="新宋体" w:hint="eastAsia"/>
          <w:sz w:val="29"/>
          <w:szCs w:val="29"/>
        </w:rPr>
        <w:t>3826</w:t>
      </w:r>
      <w:r>
        <w:rPr>
          <w:rFonts w:ascii="新宋体" w:eastAsia="新宋体" w:hAnsi="新宋体"/>
          <w:sz w:val="29"/>
          <w:szCs w:val="29"/>
        </w:rPr>
        <w:t>件，同比</w:t>
      </w:r>
      <w:r w:rsidR="00472A66">
        <w:rPr>
          <w:rFonts w:ascii="新宋体" w:eastAsia="新宋体" w:hAnsi="新宋体" w:hint="eastAsia"/>
          <w:sz w:val="29"/>
          <w:szCs w:val="29"/>
        </w:rPr>
        <w:t>上升43.08</w:t>
      </w:r>
      <w:r>
        <w:rPr>
          <w:rFonts w:ascii="新宋体" w:eastAsia="新宋体" w:hAnsi="新宋体"/>
          <w:sz w:val="29"/>
          <w:szCs w:val="29"/>
        </w:rPr>
        <w:t>%</w:t>
      </w:r>
      <w:r>
        <w:rPr>
          <w:rFonts w:ascii="新宋体" w:eastAsia="新宋体" w:hAnsi="新宋体" w:hint="eastAsia"/>
          <w:sz w:val="29"/>
          <w:szCs w:val="29"/>
        </w:rPr>
        <w:t>；</w:t>
      </w:r>
      <w:r>
        <w:rPr>
          <w:rFonts w:ascii="新宋体" w:eastAsia="新宋体" w:hAnsi="新宋体"/>
          <w:sz w:val="29"/>
          <w:szCs w:val="29"/>
        </w:rPr>
        <w:t>诉讼案件结</w:t>
      </w:r>
      <w:r w:rsidRPr="00ED7C94">
        <w:rPr>
          <w:rFonts w:ascii="新宋体" w:eastAsia="新宋体" w:hAnsi="新宋体"/>
          <w:sz w:val="29"/>
          <w:szCs w:val="29"/>
        </w:rPr>
        <w:t>收比</w:t>
      </w:r>
      <w:r w:rsidR="00472A66">
        <w:rPr>
          <w:rFonts w:ascii="新宋体" w:eastAsia="新宋体" w:hAnsi="新宋体" w:hint="eastAsia"/>
          <w:sz w:val="29"/>
          <w:szCs w:val="29"/>
        </w:rPr>
        <w:t>103.66</w:t>
      </w:r>
      <w:r w:rsidRPr="00ED7C94">
        <w:rPr>
          <w:rFonts w:ascii="新宋体" w:eastAsia="新宋体" w:hAnsi="新宋体"/>
          <w:sz w:val="29"/>
          <w:szCs w:val="29"/>
        </w:rPr>
        <w:t>%，</w:t>
      </w:r>
      <w:r w:rsidRPr="00ED7C94">
        <w:rPr>
          <w:rFonts w:ascii="新宋体" w:eastAsia="新宋体" w:hAnsi="新宋体" w:hint="eastAsia"/>
          <w:sz w:val="29"/>
          <w:szCs w:val="29"/>
        </w:rPr>
        <w:t>全省</w:t>
      </w:r>
      <w:r w:rsidRPr="00376EF9">
        <w:rPr>
          <w:rFonts w:ascii="新宋体" w:eastAsia="新宋体" w:hAnsi="新宋体" w:hint="eastAsia"/>
          <w:sz w:val="29"/>
          <w:szCs w:val="29"/>
        </w:rPr>
        <w:t>排名第</w:t>
      </w:r>
      <w:r w:rsidR="00472A66">
        <w:rPr>
          <w:rFonts w:ascii="新宋体" w:eastAsia="新宋体" w:hAnsi="新宋体" w:hint="eastAsia"/>
          <w:sz w:val="29"/>
          <w:szCs w:val="29"/>
        </w:rPr>
        <w:t>2</w:t>
      </w:r>
      <w:r w:rsidRPr="00376EF9">
        <w:rPr>
          <w:rFonts w:ascii="新宋体" w:eastAsia="新宋体" w:hAnsi="新宋体" w:hint="eastAsia"/>
          <w:sz w:val="29"/>
          <w:szCs w:val="29"/>
        </w:rPr>
        <w:t>位，全市排名第</w:t>
      </w:r>
      <w:r w:rsidR="00472A66">
        <w:rPr>
          <w:rFonts w:ascii="新宋体" w:eastAsia="新宋体" w:hAnsi="新宋体" w:hint="eastAsia"/>
          <w:sz w:val="29"/>
          <w:szCs w:val="29"/>
        </w:rPr>
        <w:t>2</w:t>
      </w:r>
      <w:r w:rsidRPr="00376EF9">
        <w:rPr>
          <w:rFonts w:ascii="新宋体" w:eastAsia="新宋体" w:hAnsi="新宋体" w:hint="eastAsia"/>
          <w:sz w:val="29"/>
          <w:szCs w:val="29"/>
        </w:rPr>
        <w:t>位，</w:t>
      </w:r>
      <w:r w:rsidRPr="00376EF9">
        <w:rPr>
          <w:rFonts w:ascii="新宋体" w:eastAsia="新宋体" w:hAnsi="新宋体"/>
          <w:sz w:val="29"/>
          <w:szCs w:val="29"/>
        </w:rPr>
        <w:t>诉讼案件结案率</w:t>
      </w:r>
      <w:r w:rsidR="00472A66">
        <w:rPr>
          <w:rFonts w:ascii="新宋体" w:eastAsia="新宋体" w:hAnsi="新宋体" w:hint="eastAsia"/>
          <w:sz w:val="29"/>
          <w:szCs w:val="29"/>
        </w:rPr>
        <w:t>88.29%</w:t>
      </w:r>
      <w:r w:rsidRPr="00376EF9">
        <w:rPr>
          <w:rFonts w:ascii="新宋体" w:eastAsia="新宋体" w:hAnsi="新宋体" w:hint="eastAsia"/>
          <w:sz w:val="29"/>
          <w:szCs w:val="29"/>
        </w:rPr>
        <w:t>，</w:t>
      </w:r>
      <w:r w:rsidR="005A10A5">
        <w:rPr>
          <w:rFonts w:ascii="新宋体" w:eastAsia="新宋体" w:hAnsi="新宋体" w:hint="eastAsia"/>
          <w:sz w:val="29"/>
          <w:szCs w:val="29"/>
        </w:rPr>
        <w:t>同比</w:t>
      </w:r>
      <w:r w:rsidR="00472A66">
        <w:rPr>
          <w:rFonts w:ascii="新宋体" w:eastAsia="新宋体" w:hAnsi="新宋体" w:hint="eastAsia"/>
          <w:sz w:val="29"/>
          <w:szCs w:val="29"/>
        </w:rPr>
        <w:t>上升8.44%</w:t>
      </w:r>
      <w:r w:rsidR="005A10A5">
        <w:rPr>
          <w:rFonts w:ascii="新宋体" w:eastAsia="新宋体" w:hAnsi="新宋体" w:hint="eastAsia"/>
          <w:sz w:val="29"/>
          <w:szCs w:val="29"/>
        </w:rPr>
        <w:t>，</w:t>
      </w:r>
      <w:r w:rsidRPr="00376EF9">
        <w:rPr>
          <w:rFonts w:ascii="新宋体" w:eastAsia="新宋体" w:hAnsi="新宋体" w:hint="eastAsia"/>
          <w:sz w:val="29"/>
          <w:szCs w:val="29"/>
        </w:rPr>
        <w:t>全省排名第</w:t>
      </w:r>
      <w:r w:rsidR="00472A66">
        <w:rPr>
          <w:rFonts w:ascii="新宋体" w:eastAsia="新宋体" w:hAnsi="新宋体" w:hint="eastAsia"/>
          <w:sz w:val="29"/>
          <w:szCs w:val="29"/>
        </w:rPr>
        <w:t>54</w:t>
      </w:r>
      <w:r w:rsidRPr="00376EF9">
        <w:rPr>
          <w:rFonts w:ascii="新宋体" w:eastAsia="新宋体" w:hAnsi="新宋体" w:hint="eastAsia"/>
          <w:sz w:val="29"/>
          <w:szCs w:val="29"/>
        </w:rPr>
        <w:t>位，全市排名</w:t>
      </w:r>
      <w:r>
        <w:rPr>
          <w:rFonts w:ascii="新宋体" w:eastAsia="新宋体" w:hAnsi="新宋体" w:hint="eastAsia"/>
          <w:sz w:val="29"/>
          <w:szCs w:val="29"/>
        </w:rPr>
        <w:t>第</w:t>
      </w:r>
      <w:r w:rsidR="00472A66">
        <w:rPr>
          <w:rFonts w:ascii="新宋体" w:eastAsia="新宋体" w:hAnsi="新宋体" w:hint="eastAsia"/>
          <w:sz w:val="29"/>
          <w:szCs w:val="29"/>
        </w:rPr>
        <w:t>4</w:t>
      </w:r>
      <w:r>
        <w:rPr>
          <w:rFonts w:ascii="新宋体" w:eastAsia="新宋体" w:hAnsi="新宋体" w:hint="eastAsia"/>
          <w:sz w:val="29"/>
          <w:szCs w:val="29"/>
        </w:rPr>
        <w:t>位</w:t>
      </w:r>
      <w:r>
        <w:rPr>
          <w:rFonts w:ascii="新宋体" w:eastAsia="新宋体" w:hAnsi="新宋体"/>
          <w:sz w:val="29"/>
          <w:szCs w:val="29"/>
        </w:rPr>
        <w:t>；</w:t>
      </w:r>
      <w:r>
        <w:rPr>
          <w:rFonts w:ascii="新宋体" w:eastAsia="新宋体" w:hAnsi="新宋体" w:hint="eastAsia"/>
          <w:sz w:val="29"/>
          <w:szCs w:val="29"/>
        </w:rPr>
        <w:t>前郭</w:t>
      </w:r>
      <w:r>
        <w:rPr>
          <w:rFonts w:ascii="新宋体" w:eastAsia="新宋体" w:hAnsi="新宋体"/>
          <w:sz w:val="29"/>
          <w:szCs w:val="29"/>
        </w:rPr>
        <w:t>法院受理执行</w:t>
      </w:r>
      <w:r w:rsidRPr="001F7484">
        <w:rPr>
          <w:rFonts w:ascii="新宋体" w:eastAsia="新宋体" w:hAnsi="新宋体"/>
          <w:sz w:val="29"/>
          <w:szCs w:val="29"/>
        </w:rPr>
        <w:t>案件</w:t>
      </w:r>
      <w:r w:rsidR="00472A66">
        <w:rPr>
          <w:rFonts w:ascii="新宋体" w:eastAsia="新宋体" w:hAnsi="新宋体" w:hint="eastAsia"/>
          <w:sz w:val="29"/>
          <w:szCs w:val="29"/>
        </w:rPr>
        <w:t>2409</w:t>
      </w:r>
      <w:r w:rsidRPr="001F7484">
        <w:rPr>
          <w:rFonts w:ascii="新宋体" w:eastAsia="新宋体" w:hAnsi="新宋体"/>
          <w:sz w:val="29"/>
          <w:szCs w:val="29"/>
        </w:rPr>
        <w:t>件，</w:t>
      </w:r>
      <w:r>
        <w:rPr>
          <w:rFonts w:ascii="新宋体" w:eastAsia="新宋体" w:hAnsi="新宋体"/>
          <w:sz w:val="29"/>
          <w:szCs w:val="29"/>
        </w:rPr>
        <w:t>占</w:t>
      </w:r>
      <w:r>
        <w:rPr>
          <w:rFonts w:ascii="新宋体" w:eastAsia="新宋体" w:hAnsi="新宋体" w:hint="eastAsia"/>
          <w:sz w:val="29"/>
          <w:szCs w:val="29"/>
        </w:rPr>
        <w:t>前郭</w:t>
      </w:r>
      <w:r>
        <w:rPr>
          <w:rFonts w:ascii="新宋体" w:eastAsia="新宋体" w:hAnsi="新宋体"/>
          <w:sz w:val="29"/>
          <w:szCs w:val="29"/>
        </w:rPr>
        <w:t>法院受案总数的</w:t>
      </w:r>
      <w:r w:rsidR="00472A66">
        <w:rPr>
          <w:rFonts w:ascii="新宋体" w:eastAsia="新宋体" w:hAnsi="新宋体" w:hint="eastAsia"/>
          <w:sz w:val="29"/>
          <w:szCs w:val="29"/>
        </w:rPr>
        <w:t>34.91</w:t>
      </w:r>
      <w:r>
        <w:rPr>
          <w:rFonts w:ascii="新宋体" w:eastAsia="新宋体" w:hAnsi="新宋体" w:hint="eastAsia"/>
          <w:sz w:val="29"/>
          <w:szCs w:val="29"/>
        </w:rPr>
        <w:t>%</w:t>
      </w:r>
      <w:r>
        <w:rPr>
          <w:rFonts w:ascii="新宋体" w:eastAsia="新宋体" w:hAnsi="新宋体"/>
          <w:sz w:val="29"/>
          <w:szCs w:val="29"/>
        </w:rPr>
        <w:t>，其中，新收案件</w:t>
      </w:r>
      <w:r w:rsidR="00472A66">
        <w:rPr>
          <w:rFonts w:ascii="新宋体" w:eastAsia="新宋体" w:hAnsi="新宋体" w:hint="eastAsia"/>
          <w:sz w:val="29"/>
          <w:szCs w:val="29"/>
        </w:rPr>
        <w:t>2307</w:t>
      </w:r>
      <w:r>
        <w:rPr>
          <w:rFonts w:ascii="新宋体" w:eastAsia="新宋体" w:hAnsi="新宋体"/>
          <w:sz w:val="29"/>
          <w:szCs w:val="29"/>
        </w:rPr>
        <w:t>件，同比</w:t>
      </w:r>
      <w:r w:rsidR="00472A66">
        <w:rPr>
          <w:rFonts w:ascii="新宋体" w:eastAsia="新宋体" w:hAnsi="新宋体" w:hint="eastAsia"/>
          <w:sz w:val="29"/>
          <w:szCs w:val="29"/>
        </w:rPr>
        <w:t>上升28.67</w:t>
      </w:r>
      <w:r>
        <w:rPr>
          <w:rFonts w:ascii="新宋体" w:eastAsia="新宋体" w:hAnsi="新宋体"/>
          <w:sz w:val="29"/>
          <w:szCs w:val="29"/>
        </w:rPr>
        <w:t>%，</w:t>
      </w:r>
      <w:r w:rsidRPr="001F7484">
        <w:rPr>
          <w:rFonts w:ascii="新宋体" w:eastAsia="新宋体" w:hAnsi="新宋体"/>
          <w:sz w:val="29"/>
          <w:szCs w:val="29"/>
        </w:rPr>
        <w:t>执行案件结收</w:t>
      </w:r>
      <w:r w:rsidRPr="001F7484">
        <w:rPr>
          <w:rFonts w:ascii="新宋体" w:eastAsia="新宋体" w:hAnsi="新宋体" w:hint="eastAsia"/>
          <w:sz w:val="29"/>
          <w:szCs w:val="29"/>
        </w:rPr>
        <w:t>比</w:t>
      </w:r>
      <w:r w:rsidR="00472A66">
        <w:rPr>
          <w:rFonts w:ascii="新宋体" w:eastAsia="新宋体" w:hAnsi="新宋体" w:hint="eastAsia"/>
          <w:sz w:val="29"/>
          <w:szCs w:val="29"/>
        </w:rPr>
        <w:t>97.40</w:t>
      </w:r>
      <w:r w:rsidRPr="001F7484">
        <w:rPr>
          <w:rFonts w:ascii="新宋体" w:eastAsia="新宋体" w:hAnsi="新宋体"/>
          <w:sz w:val="29"/>
          <w:szCs w:val="29"/>
        </w:rPr>
        <w:t>%，</w:t>
      </w:r>
      <w:r w:rsidRPr="001F7484">
        <w:rPr>
          <w:rFonts w:ascii="新宋体" w:eastAsia="新宋体" w:hAnsi="新宋体" w:hint="eastAsia"/>
          <w:sz w:val="29"/>
          <w:szCs w:val="29"/>
        </w:rPr>
        <w:t>全省排名第</w:t>
      </w:r>
      <w:r w:rsidR="003B1481">
        <w:rPr>
          <w:rFonts w:ascii="新宋体" w:eastAsia="新宋体" w:hAnsi="新宋体" w:hint="eastAsia"/>
          <w:sz w:val="29"/>
          <w:szCs w:val="29"/>
        </w:rPr>
        <w:t>6</w:t>
      </w:r>
      <w:r w:rsidRPr="001F7484">
        <w:rPr>
          <w:rFonts w:ascii="新宋体" w:eastAsia="新宋体" w:hAnsi="新宋体" w:hint="eastAsia"/>
          <w:sz w:val="29"/>
          <w:szCs w:val="29"/>
        </w:rPr>
        <w:t>位，全市排名第</w:t>
      </w:r>
      <w:r w:rsidR="003B1481">
        <w:rPr>
          <w:rFonts w:ascii="新宋体" w:eastAsia="新宋体" w:hAnsi="新宋体" w:hint="eastAsia"/>
          <w:sz w:val="29"/>
          <w:szCs w:val="29"/>
        </w:rPr>
        <w:t>1</w:t>
      </w:r>
      <w:r w:rsidRPr="001F7484">
        <w:rPr>
          <w:rFonts w:ascii="新宋体" w:eastAsia="新宋体" w:hAnsi="新宋体" w:hint="eastAsia"/>
          <w:sz w:val="29"/>
          <w:szCs w:val="29"/>
        </w:rPr>
        <w:t>位；</w:t>
      </w:r>
      <w:r w:rsidRPr="001F7484">
        <w:rPr>
          <w:rFonts w:ascii="新宋体" w:eastAsia="新宋体" w:hAnsi="新宋体"/>
          <w:sz w:val="29"/>
          <w:szCs w:val="29"/>
        </w:rPr>
        <w:t>执结率</w:t>
      </w:r>
      <w:r w:rsidR="003B1481">
        <w:rPr>
          <w:rFonts w:ascii="新宋体" w:eastAsia="新宋体" w:hAnsi="新宋体" w:hint="eastAsia"/>
          <w:sz w:val="29"/>
          <w:szCs w:val="29"/>
        </w:rPr>
        <w:t>93.28</w:t>
      </w:r>
      <w:r w:rsidRPr="001F7484">
        <w:rPr>
          <w:rFonts w:ascii="新宋体" w:eastAsia="新宋体" w:hAnsi="新宋体"/>
          <w:sz w:val="29"/>
          <w:szCs w:val="29"/>
        </w:rPr>
        <w:t>%</w:t>
      </w:r>
      <w:r w:rsidRPr="001F7484">
        <w:rPr>
          <w:rFonts w:ascii="新宋体" w:eastAsia="新宋体" w:hAnsi="新宋体" w:hint="eastAsia"/>
          <w:sz w:val="29"/>
          <w:szCs w:val="29"/>
        </w:rPr>
        <w:t>，全省排名第</w:t>
      </w:r>
      <w:r w:rsidR="003B1481">
        <w:rPr>
          <w:rFonts w:ascii="新宋体" w:eastAsia="新宋体" w:hAnsi="新宋体" w:hint="eastAsia"/>
          <w:sz w:val="29"/>
          <w:szCs w:val="29"/>
        </w:rPr>
        <w:t>12</w:t>
      </w:r>
      <w:r w:rsidRPr="001F7484">
        <w:rPr>
          <w:rFonts w:ascii="新宋体" w:eastAsia="新宋体" w:hAnsi="新宋体" w:hint="eastAsia"/>
          <w:sz w:val="29"/>
          <w:szCs w:val="29"/>
        </w:rPr>
        <w:t>位，全</w:t>
      </w:r>
      <w:r>
        <w:rPr>
          <w:rFonts w:ascii="新宋体" w:eastAsia="新宋体" w:hAnsi="新宋体" w:hint="eastAsia"/>
          <w:sz w:val="29"/>
          <w:szCs w:val="29"/>
        </w:rPr>
        <w:t>市</w:t>
      </w:r>
      <w:r>
        <w:rPr>
          <w:rFonts w:ascii="新宋体" w:eastAsia="新宋体" w:hAnsi="新宋体" w:hint="eastAsia"/>
          <w:color w:val="000000" w:themeColor="text1"/>
          <w:sz w:val="29"/>
          <w:szCs w:val="29"/>
        </w:rPr>
        <w:t>排名第</w:t>
      </w:r>
      <w:r w:rsidR="003B1481">
        <w:rPr>
          <w:rFonts w:ascii="新宋体" w:eastAsia="新宋体" w:hAnsi="新宋体" w:hint="eastAsia"/>
          <w:color w:val="000000" w:themeColor="text1"/>
          <w:sz w:val="29"/>
          <w:szCs w:val="29"/>
        </w:rPr>
        <w:t>2</w:t>
      </w:r>
      <w:r>
        <w:rPr>
          <w:rFonts w:ascii="新宋体" w:eastAsia="新宋体" w:hAnsi="新宋体" w:hint="eastAsia"/>
          <w:color w:val="000000" w:themeColor="text1"/>
          <w:sz w:val="29"/>
          <w:szCs w:val="29"/>
        </w:rPr>
        <w:t>位</w:t>
      </w:r>
      <w:r>
        <w:rPr>
          <w:rFonts w:ascii="新宋体" w:eastAsia="新宋体" w:hAnsi="新宋体"/>
          <w:color w:val="000000" w:themeColor="text1"/>
          <w:sz w:val="29"/>
          <w:szCs w:val="29"/>
        </w:rPr>
        <w:t>。</w:t>
      </w:r>
    </w:p>
    <w:p w:rsidR="00025DD3" w:rsidRDefault="00025DD3">
      <w:pPr>
        <w:spacing w:line="200" w:lineRule="exact"/>
        <w:rPr>
          <w:rFonts w:ascii="Times New Roman" w:hAnsi="Times New Roman"/>
        </w:rPr>
      </w:pPr>
    </w:p>
    <w:p w:rsidR="00025DD3" w:rsidRPr="003B1481" w:rsidRDefault="00025DD3">
      <w:pPr>
        <w:spacing w:line="200" w:lineRule="exact"/>
        <w:rPr>
          <w:rFonts w:ascii="Times New Roman" w:hAnsi="Times New Roman"/>
        </w:rPr>
      </w:pPr>
    </w:p>
    <w:p w:rsidR="00025DD3" w:rsidRDefault="00025DD3">
      <w:pPr>
        <w:spacing w:line="200" w:lineRule="exact"/>
        <w:rPr>
          <w:rFonts w:ascii="Times New Roman" w:hAnsi="Times New Roman"/>
        </w:rPr>
      </w:pPr>
    </w:p>
    <w:p w:rsidR="00025DD3" w:rsidRDefault="00025DD3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B217A3" w:rsidRDefault="00B217A3">
      <w:pPr>
        <w:spacing w:line="274" w:lineRule="exact"/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B217A3" w:rsidRPr="00B217A3" w:rsidRDefault="00B17BCD" w:rsidP="00B217A3">
      <w:pPr>
        <w:spacing w:line="274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20</w:t>
      </w:r>
      <w:r w:rsidR="001522D8">
        <w:rPr>
          <w:rFonts w:ascii="华文仿宋" w:eastAsia="华文仿宋" w:hAnsi="华文仿宋" w:hint="eastAsia"/>
          <w:b/>
          <w:sz w:val="28"/>
          <w:szCs w:val="28"/>
        </w:rPr>
        <w:t>23</w:t>
      </w:r>
      <w:r>
        <w:rPr>
          <w:rFonts w:ascii="华文仿宋" w:eastAsia="华文仿宋" w:hAnsi="华文仿宋"/>
          <w:b/>
          <w:sz w:val="28"/>
          <w:szCs w:val="28"/>
        </w:rPr>
        <w:t>年</w:t>
      </w:r>
      <w:r w:rsidR="009D0339">
        <w:rPr>
          <w:rFonts w:ascii="华文仿宋" w:eastAsia="华文仿宋" w:hAnsi="华文仿宋" w:hint="eastAsia"/>
          <w:b/>
          <w:sz w:val="28"/>
          <w:szCs w:val="28"/>
        </w:rPr>
        <w:t>1-</w:t>
      </w:r>
      <w:r w:rsidR="001522D8">
        <w:rPr>
          <w:rFonts w:ascii="华文仿宋" w:eastAsia="华文仿宋" w:hAnsi="华文仿宋" w:hint="eastAsia"/>
          <w:b/>
          <w:sz w:val="28"/>
          <w:szCs w:val="28"/>
        </w:rPr>
        <w:t>6</w:t>
      </w:r>
      <w:r>
        <w:rPr>
          <w:rFonts w:ascii="华文仿宋" w:eastAsia="华文仿宋" w:hAnsi="华文仿宋" w:hint="eastAsia"/>
          <w:b/>
          <w:sz w:val="28"/>
          <w:szCs w:val="28"/>
        </w:rPr>
        <w:t>月</w:t>
      </w:r>
      <w:r>
        <w:rPr>
          <w:rFonts w:ascii="华文仿宋" w:eastAsia="华文仿宋" w:hAnsi="华文仿宋"/>
          <w:b/>
          <w:sz w:val="28"/>
          <w:szCs w:val="28"/>
        </w:rPr>
        <w:t>诉讼、执行案件收结案情况图</w:t>
      </w:r>
    </w:p>
    <w:p w:rsidR="00025DD3" w:rsidRDefault="00B217A3">
      <w:pPr>
        <w:pStyle w:val="a8"/>
        <w:sectPr w:rsidR="00025DD3">
          <w:headerReference w:type="default" r:id="rId9"/>
          <w:footerReference w:type="default" r:id="rId10"/>
          <w:pgSz w:w="11900" w:h="16840"/>
          <w:pgMar w:top="1440" w:right="1440" w:bottom="492" w:left="1440" w:header="567" w:footer="397" w:gutter="0"/>
          <w:cols w:space="720" w:equalWidth="0">
            <w:col w:w="9024"/>
          </w:cols>
          <w:docGrid w:linePitch="360"/>
        </w:sectPr>
      </w:pPr>
      <w:r w:rsidRPr="00B217A3">
        <w:rPr>
          <w:noProof/>
        </w:rPr>
        <w:drawing>
          <wp:inline distT="0" distB="0" distL="0" distR="0">
            <wp:extent cx="5504226" cy="3563332"/>
            <wp:effectExtent l="19050" t="0" r="20274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5DD3" w:rsidRDefault="00025DD3">
      <w:pPr>
        <w:spacing w:line="360" w:lineRule="auto"/>
        <w:ind w:left="472" w:rightChars="150" w:right="300" w:hangingChars="147" w:hanging="472"/>
        <w:jc w:val="center"/>
        <w:rPr>
          <w:rFonts w:ascii="新宋体" w:eastAsia="新宋体" w:hAnsi="新宋体"/>
          <w:b/>
          <w:color w:val="000000" w:themeColor="text1"/>
          <w:sz w:val="32"/>
        </w:rPr>
      </w:pPr>
      <w:bookmarkStart w:id="1" w:name="page3"/>
      <w:bookmarkEnd w:id="1"/>
    </w:p>
    <w:p w:rsidR="00025DD3" w:rsidRDefault="00B17BCD">
      <w:pPr>
        <w:spacing w:line="360" w:lineRule="auto"/>
        <w:ind w:rightChars="150" w:right="300" w:firstLineChars="295" w:firstLine="944"/>
        <w:rPr>
          <w:rFonts w:ascii="楷体" w:eastAsia="楷体" w:hAnsi="楷体"/>
          <w:color w:val="000000" w:themeColor="text1"/>
          <w:sz w:val="32"/>
        </w:rPr>
      </w:pPr>
      <w:r>
        <w:rPr>
          <w:rFonts w:ascii="楷体" w:eastAsia="楷体" w:hAnsi="楷体" w:hint="eastAsia"/>
          <w:color w:val="000000" w:themeColor="text1"/>
          <w:sz w:val="32"/>
        </w:rPr>
        <w:t>3</w:t>
      </w:r>
      <w:r>
        <w:rPr>
          <w:rFonts w:ascii="楷体" w:eastAsia="楷体" w:hAnsi="楷体"/>
          <w:color w:val="000000" w:themeColor="text1"/>
          <w:sz w:val="32"/>
        </w:rPr>
        <w:t>.各业务部门收结案情况。</w:t>
      </w:r>
    </w:p>
    <w:p w:rsidR="00025DD3" w:rsidRDefault="00255765" w:rsidP="00B6365A">
      <w:pPr>
        <w:spacing w:line="360" w:lineRule="auto"/>
        <w:ind w:left="423" w:rightChars="150" w:right="300" w:hangingChars="146" w:hanging="423"/>
        <w:jc w:val="center"/>
        <w:rPr>
          <w:rFonts w:ascii="新宋体" w:eastAsia="新宋体" w:hAnsi="新宋体"/>
          <w:color w:val="000000" w:themeColor="text1"/>
          <w:sz w:val="29"/>
          <w:szCs w:val="29"/>
        </w:rPr>
      </w:pPr>
      <w:r>
        <w:rPr>
          <w:rFonts w:ascii="新宋体" w:eastAsia="新宋体" w:hAnsi="新宋体" w:hint="eastAsia"/>
          <w:color w:val="000000" w:themeColor="text1"/>
          <w:sz w:val="29"/>
          <w:szCs w:val="29"/>
        </w:rPr>
        <w:t xml:space="preserve">      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前郭</w:t>
      </w:r>
      <w:r w:rsidR="00B17BCD">
        <w:rPr>
          <w:rFonts w:ascii="新宋体" w:eastAsia="新宋体" w:hAnsi="新宋体"/>
          <w:color w:val="000000" w:themeColor="text1"/>
          <w:sz w:val="29"/>
          <w:szCs w:val="29"/>
        </w:rPr>
        <w:t>法院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各</w:t>
      </w:r>
      <w:r w:rsidR="00B17BCD">
        <w:rPr>
          <w:rFonts w:ascii="新宋体" w:eastAsia="新宋体" w:hAnsi="新宋体"/>
          <w:color w:val="000000" w:themeColor="text1"/>
          <w:sz w:val="29"/>
          <w:szCs w:val="29"/>
        </w:rPr>
        <w:t>业务部门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共</w:t>
      </w:r>
      <w:r w:rsidR="00B17BCD">
        <w:rPr>
          <w:rFonts w:ascii="新宋体" w:eastAsia="新宋体" w:hAnsi="新宋体"/>
          <w:color w:val="000000" w:themeColor="text1"/>
          <w:sz w:val="29"/>
          <w:szCs w:val="29"/>
        </w:rPr>
        <w:t>受案</w:t>
      </w:r>
      <w:r w:rsidR="00606F05">
        <w:rPr>
          <w:rFonts w:ascii="新宋体" w:eastAsia="新宋体" w:hAnsi="新宋体" w:hint="eastAsia"/>
          <w:color w:val="000000" w:themeColor="text1"/>
          <w:sz w:val="29"/>
          <w:szCs w:val="29"/>
        </w:rPr>
        <w:t>4391</w:t>
      </w:r>
      <w:r w:rsidR="00B17BCD">
        <w:rPr>
          <w:rFonts w:ascii="新宋体" w:eastAsia="新宋体" w:hAnsi="新宋体"/>
          <w:sz w:val="29"/>
          <w:szCs w:val="29"/>
        </w:rPr>
        <w:t>件，同</w:t>
      </w:r>
      <w:r w:rsidR="00B17BCD">
        <w:rPr>
          <w:rFonts w:ascii="新宋体" w:eastAsia="新宋体" w:hAnsi="新宋体" w:hint="eastAsia"/>
          <w:sz w:val="29"/>
          <w:szCs w:val="29"/>
        </w:rPr>
        <w:t>比上升</w:t>
      </w:r>
      <w:r w:rsidR="00606F05">
        <w:rPr>
          <w:rFonts w:ascii="新宋体" w:eastAsia="新宋体" w:hAnsi="新宋体" w:hint="eastAsia"/>
          <w:sz w:val="29"/>
          <w:szCs w:val="29"/>
        </w:rPr>
        <w:t>34.24</w:t>
      </w:r>
      <w:r w:rsidR="00B17BCD">
        <w:rPr>
          <w:rFonts w:ascii="新宋体" w:eastAsia="新宋体" w:hAnsi="新宋体" w:hint="eastAsia"/>
          <w:sz w:val="29"/>
          <w:szCs w:val="29"/>
        </w:rPr>
        <w:t>%</w:t>
      </w:r>
      <w:r w:rsidR="00B17BCD">
        <w:rPr>
          <w:rFonts w:ascii="新宋体" w:eastAsia="新宋体" w:hAnsi="新宋体"/>
          <w:color w:val="000000" w:themeColor="text1"/>
          <w:sz w:val="29"/>
          <w:szCs w:val="29"/>
        </w:rPr>
        <w:t>，结案</w:t>
      </w:r>
      <w:r w:rsidR="00606F05">
        <w:rPr>
          <w:rFonts w:ascii="新宋体" w:eastAsia="新宋体" w:hAnsi="新宋体" w:hint="eastAsia"/>
          <w:sz w:val="29"/>
          <w:szCs w:val="29"/>
        </w:rPr>
        <w:t>3874</w:t>
      </w:r>
      <w:r w:rsidR="00B17BCD">
        <w:rPr>
          <w:rFonts w:ascii="新宋体" w:eastAsia="新宋体" w:hAnsi="新宋体"/>
          <w:sz w:val="29"/>
          <w:szCs w:val="29"/>
        </w:rPr>
        <w:t>件，同比</w:t>
      </w:r>
      <w:r w:rsidR="00606F05">
        <w:rPr>
          <w:rFonts w:ascii="新宋体" w:eastAsia="新宋体" w:hAnsi="新宋体" w:hint="eastAsia"/>
          <w:sz w:val="29"/>
          <w:szCs w:val="29"/>
        </w:rPr>
        <w:t>上升46.63</w:t>
      </w:r>
      <w:r w:rsidR="00B17BCD">
        <w:rPr>
          <w:rFonts w:ascii="新宋体" w:eastAsia="新宋体" w:hAnsi="新宋体"/>
          <w:sz w:val="29"/>
          <w:szCs w:val="29"/>
        </w:rPr>
        <w:t>%</w:t>
      </w:r>
      <w:r w:rsidR="00B17BCD">
        <w:rPr>
          <w:rFonts w:ascii="新宋体" w:eastAsia="新宋体" w:hAnsi="新宋体"/>
          <w:color w:val="000000" w:themeColor="text1"/>
          <w:sz w:val="29"/>
          <w:szCs w:val="29"/>
        </w:rPr>
        <w:t>。受案数排在前三位的部门是：</w:t>
      </w:r>
      <w:r>
        <w:rPr>
          <w:rFonts w:ascii="新宋体" w:eastAsia="新宋体" w:hAnsi="新宋体" w:hint="eastAsia"/>
          <w:color w:val="000000" w:themeColor="text1"/>
          <w:sz w:val="29"/>
          <w:szCs w:val="29"/>
        </w:rPr>
        <w:t>速裁审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判庭、</w:t>
      </w:r>
      <w:r w:rsidR="00B217A3">
        <w:rPr>
          <w:rFonts w:ascii="新宋体" w:eastAsia="新宋体" w:hAnsi="新宋体" w:hint="eastAsia"/>
          <w:color w:val="000000" w:themeColor="text1"/>
          <w:sz w:val="29"/>
          <w:szCs w:val="29"/>
        </w:rPr>
        <w:t>行政审判庭</w:t>
      </w:r>
      <w:r w:rsidR="00B6365A">
        <w:rPr>
          <w:rFonts w:ascii="新宋体" w:eastAsia="新宋体" w:hAnsi="新宋体" w:hint="eastAsia"/>
          <w:color w:val="000000" w:themeColor="text1"/>
          <w:sz w:val="29"/>
          <w:szCs w:val="29"/>
        </w:rPr>
        <w:t>、</w:t>
      </w:r>
      <w:r w:rsidR="00B217A3">
        <w:rPr>
          <w:rFonts w:ascii="新宋体" w:eastAsia="新宋体" w:hAnsi="新宋体" w:hint="eastAsia"/>
          <w:color w:val="000000" w:themeColor="text1"/>
          <w:sz w:val="29"/>
          <w:szCs w:val="29"/>
        </w:rPr>
        <w:t>民事审判第一庭</w:t>
      </w:r>
      <w:r w:rsidR="00B17BCD">
        <w:rPr>
          <w:rFonts w:ascii="新宋体" w:eastAsia="新宋体" w:hAnsi="新宋体"/>
          <w:color w:val="000000" w:themeColor="text1"/>
          <w:sz w:val="29"/>
          <w:szCs w:val="29"/>
        </w:rPr>
        <w:t>，结案数排在前三的部门是：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速裁审判庭、行政审判庭、</w:t>
      </w:r>
      <w:r w:rsidR="00C55B5F">
        <w:rPr>
          <w:rFonts w:ascii="新宋体" w:eastAsia="新宋体" w:hAnsi="新宋体" w:hint="eastAsia"/>
          <w:color w:val="000000" w:themeColor="text1"/>
          <w:sz w:val="29"/>
          <w:szCs w:val="29"/>
        </w:rPr>
        <w:t>诉讼服务中心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。（排名不含执行和院领导）</w:t>
      </w:r>
    </w:p>
    <w:p w:rsidR="00025DD3" w:rsidRDefault="00025DD3">
      <w:pPr>
        <w:spacing w:line="274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2" w:name="page5"/>
      <w:bookmarkEnd w:id="2"/>
    </w:p>
    <w:p w:rsidR="00025DD3" w:rsidRDefault="00025DD3">
      <w:pPr>
        <w:spacing w:line="274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p w:rsidR="00025DD3" w:rsidRDefault="00025DD3">
      <w:pPr>
        <w:spacing w:line="274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p w:rsidR="00025DD3" w:rsidRPr="00791FA7" w:rsidRDefault="00025DD3">
      <w:pPr>
        <w:spacing w:line="274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p w:rsidR="00025DD3" w:rsidRDefault="00025DD3">
      <w:pPr>
        <w:spacing w:line="274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p w:rsidR="00025DD3" w:rsidRDefault="00025DD3">
      <w:pPr>
        <w:spacing w:line="274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p w:rsidR="00025DD3" w:rsidRDefault="00B17BCD">
      <w:pPr>
        <w:spacing w:line="274" w:lineRule="exact"/>
        <w:jc w:val="center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/>
          <w:b/>
          <w:color w:val="000000" w:themeColor="text1"/>
          <w:sz w:val="28"/>
          <w:szCs w:val="28"/>
        </w:rPr>
        <w:t>20</w:t>
      </w:r>
      <w:r w:rsidR="007B63E1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23</w:t>
      </w:r>
      <w:r>
        <w:rPr>
          <w:rFonts w:ascii="华文仿宋" w:eastAsia="华文仿宋" w:hAnsi="华文仿宋"/>
          <w:b/>
          <w:color w:val="000000" w:themeColor="text1"/>
          <w:sz w:val="28"/>
          <w:szCs w:val="28"/>
        </w:rPr>
        <w:t>年</w:t>
      </w:r>
      <w:r w:rsidR="007B63E1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1-6</w:t>
      </w:r>
      <w:r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月前郭</w:t>
      </w:r>
      <w:r>
        <w:rPr>
          <w:rFonts w:ascii="华文仿宋" w:eastAsia="华文仿宋" w:hAnsi="华文仿宋"/>
          <w:b/>
          <w:color w:val="000000" w:themeColor="text1"/>
          <w:sz w:val="28"/>
          <w:szCs w:val="28"/>
        </w:rPr>
        <w:t>法院各部门收结案情况图</w:t>
      </w:r>
    </w:p>
    <w:p w:rsidR="00025DD3" w:rsidRDefault="00025DD3">
      <w:pPr>
        <w:spacing w:line="274" w:lineRule="exact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p w:rsidR="00025DD3" w:rsidRDefault="00025DD3">
      <w:pPr>
        <w:spacing w:line="20" w:lineRule="exact"/>
        <w:rPr>
          <w:rFonts w:ascii="Times New Roman" w:eastAsia="Times New Roman" w:hAnsi="Times New Roman"/>
          <w:color w:val="000000" w:themeColor="text1"/>
        </w:rPr>
      </w:pPr>
    </w:p>
    <w:p w:rsidR="00025DD3" w:rsidRDefault="00B217A3">
      <w:pPr>
        <w:pStyle w:val="a7"/>
        <w:rPr>
          <w:color w:val="000000" w:themeColor="text1"/>
        </w:rPr>
      </w:pPr>
      <w:r w:rsidRPr="00B217A3">
        <w:rPr>
          <w:noProof/>
          <w:color w:val="000000" w:themeColor="text1"/>
        </w:rPr>
        <w:drawing>
          <wp:inline distT="0" distB="0" distL="0" distR="0">
            <wp:extent cx="5486400" cy="3676015"/>
            <wp:effectExtent l="19050" t="0" r="19050" b="63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5DD3" w:rsidRDefault="00025DD3">
      <w:pPr>
        <w:spacing w:line="366" w:lineRule="exact"/>
        <w:rPr>
          <w:rFonts w:ascii="楷体" w:eastAsia="楷体" w:hAnsi="楷体"/>
          <w:b/>
          <w:sz w:val="32"/>
        </w:rPr>
      </w:pPr>
    </w:p>
    <w:p w:rsidR="00025DD3" w:rsidRDefault="00025DD3">
      <w:pPr>
        <w:spacing w:line="366" w:lineRule="exact"/>
        <w:rPr>
          <w:rFonts w:ascii="楷体" w:eastAsia="楷体" w:hAnsi="楷体"/>
          <w:b/>
          <w:sz w:val="32"/>
        </w:rPr>
      </w:pPr>
    </w:p>
    <w:p w:rsidR="00025DD3" w:rsidRDefault="00025DD3">
      <w:pPr>
        <w:spacing w:line="366" w:lineRule="exact"/>
        <w:rPr>
          <w:rFonts w:ascii="楷体" w:eastAsia="楷体" w:hAnsi="楷体"/>
          <w:b/>
          <w:sz w:val="32"/>
        </w:rPr>
      </w:pPr>
    </w:p>
    <w:p w:rsidR="00025DD3" w:rsidRDefault="00025DD3">
      <w:pPr>
        <w:spacing w:line="366" w:lineRule="exact"/>
        <w:rPr>
          <w:rFonts w:ascii="楷体" w:eastAsia="楷体" w:hAnsi="楷体"/>
          <w:b/>
          <w:sz w:val="32"/>
        </w:rPr>
      </w:pPr>
    </w:p>
    <w:p w:rsidR="00025DD3" w:rsidRDefault="00025DD3">
      <w:pPr>
        <w:spacing w:line="366" w:lineRule="exact"/>
        <w:rPr>
          <w:rFonts w:ascii="楷体" w:eastAsia="楷体" w:hAnsi="楷体"/>
          <w:b/>
          <w:sz w:val="32"/>
        </w:rPr>
      </w:pPr>
    </w:p>
    <w:p w:rsidR="00677EC4" w:rsidRDefault="00677EC4">
      <w:pPr>
        <w:spacing w:line="366" w:lineRule="exact"/>
        <w:rPr>
          <w:rFonts w:ascii="楷体" w:eastAsia="楷体" w:hAnsi="楷体"/>
          <w:b/>
          <w:sz w:val="32"/>
        </w:rPr>
      </w:pPr>
    </w:p>
    <w:p w:rsidR="00025DD3" w:rsidRDefault="00025DD3">
      <w:pPr>
        <w:spacing w:line="360" w:lineRule="auto"/>
        <w:rPr>
          <w:rFonts w:ascii="楷体" w:eastAsia="楷体" w:hAnsi="楷体"/>
          <w:b/>
          <w:sz w:val="32"/>
        </w:rPr>
      </w:pPr>
    </w:p>
    <w:p w:rsidR="00025DD3" w:rsidRDefault="00B17BCD" w:rsidP="007A5580">
      <w:pPr>
        <w:spacing w:line="360" w:lineRule="auto"/>
        <w:ind w:firstLineChars="196" w:firstLine="706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/>
          <w:sz w:val="36"/>
          <w:szCs w:val="36"/>
        </w:rPr>
        <w:t>（二）</w:t>
      </w:r>
      <w:r>
        <w:rPr>
          <w:rFonts w:ascii="楷体" w:eastAsia="楷体" w:hAnsi="楷体" w:hint="eastAsia"/>
          <w:sz w:val="36"/>
          <w:szCs w:val="36"/>
        </w:rPr>
        <w:t>前郭</w:t>
      </w:r>
      <w:r>
        <w:rPr>
          <w:rFonts w:ascii="楷体" w:eastAsia="楷体" w:hAnsi="楷体"/>
          <w:sz w:val="36"/>
          <w:szCs w:val="36"/>
        </w:rPr>
        <w:t>法院各部门审判效率情况</w:t>
      </w:r>
    </w:p>
    <w:p w:rsidR="00025DD3" w:rsidRDefault="00025DD3">
      <w:pPr>
        <w:spacing w:line="360" w:lineRule="auto"/>
        <w:ind w:firstLineChars="196" w:firstLine="627"/>
        <w:rPr>
          <w:rFonts w:ascii="楷体" w:eastAsia="楷体" w:hAnsi="楷体"/>
          <w:sz w:val="32"/>
          <w:szCs w:val="32"/>
        </w:rPr>
      </w:pPr>
    </w:p>
    <w:p w:rsidR="00025DD3" w:rsidRDefault="00B17BCD">
      <w:pPr>
        <w:spacing w:line="360" w:lineRule="auto"/>
        <w:ind w:firstLineChars="196" w:firstLine="627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1.结案率与结收比情况</w:t>
      </w:r>
    </w:p>
    <w:p w:rsidR="00025DD3" w:rsidRDefault="00B217A3">
      <w:pPr>
        <w:pStyle w:val="2"/>
      </w:pPr>
      <w:r w:rsidRPr="00B217A3">
        <w:rPr>
          <w:noProof/>
        </w:rPr>
        <w:drawing>
          <wp:inline distT="0" distB="0" distL="0" distR="0">
            <wp:extent cx="5486400" cy="2947035"/>
            <wp:effectExtent l="19050" t="0" r="19050" b="5715"/>
            <wp:docPr id="10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25DD3" w:rsidRDefault="00B17BCD">
      <w:pPr>
        <w:spacing w:line="605" w:lineRule="exact"/>
        <w:ind w:right="184" w:firstLineChars="200" w:firstLine="640"/>
        <w:rPr>
          <w:rFonts w:ascii="楷体" w:eastAsia="楷体" w:hAnsi="楷体"/>
          <w:color w:val="000000" w:themeColor="text1"/>
          <w:sz w:val="32"/>
        </w:rPr>
      </w:pPr>
      <w:r>
        <w:rPr>
          <w:rFonts w:ascii="楷体" w:eastAsia="楷体" w:hAnsi="楷体" w:hint="eastAsia"/>
          <w:color w:val="000000" w:themeColor="text1"/>
          <w:sz w:val="32"/>
        </w:rPr>
        <w:t>2.各业务部门旧存案件占比</w:t>
      </w:r>
      <w:r w:rsidR="00E72577">
        <w:rPr>
          <w:rFonts w:ascii="楷体" w:eastAsia="楷体" w:hAnsi="楷体" w:hint="eastAsia"/>
          <w:color w:val="000000" w:themeColor="text1"/>
          <w:sz w:val="32"/>
        </w:rPr>
        <w:t xml:space="preserve"> </w:t>
      </w:r>
    </w:p>
    <w:p w:rsidR="00025DD3" w:rsidRDefault="00B17BCD">
      <w:pPr>
        <w:pStyle w:val="2"/>
      </w:pPr>
      <w:r>
        <w:rPr>
          <w:rFonts w:hint="eastAsia"/>
          <w:noProof/>
        </w:rPr>
        <w:drawing>
          <wp:inline distT="0" distB="0" distL="0" distR="0">
            <wp:extent cx="5656960" cy="2929196"/>
            <wp:effectExtent l="19050" t="0" r="19940" b="4504"/>
            <wp:docPr id="9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5DD3" w:rsidRDefault="00025DD3">
      <w:pPr>
        <w:spacing w:line="605" w:lineRule="exact"/>
        <w:ind w:right="184"/>
        <w:rPr>
          <w:rFonts w:ascii="楷体" w:eastAsia="楷体" w:hAnsi="楷体"/>
          <w:sz w:val="32"/>
        </w:rPr>
      </w:pPr>
    </w:p>
    <w:p w:rsidR="00025DD3" w:rsidRDefault="00025DD3">
      <w:pPr>
        <w:spacing w:line="605" w:lineRule="exact"/>
        <w:ind w:right="184"/>
        <w:rPr>
          <w:rFonts w:ascii="楷体" w:eastAsia="楷体" w:hAnsi="楷体"/>
          <w:sz w:val="32"/>
        </w:rPr>
      </w:pPr>
    </w:p>
    <w:p w:rsidR="00025DD3" w:rsidRDefault="00B17BCD">
      <w:pPr>
        <w:spacing w:line="605" w:lineRule="exact"/>
        <w:ind w:right="184" w:firstLineChars="196" w:firstLine="627"/>
        <w:rPr>
          <w:rFonts w:ascii="楷体" w:eastAsia="楷体" w:hAnsi="楷体"/>
          <w:color w:val="000000" w:themeColor="text1"/>
          <w:sz w:val="32"/>
        </w:rPr>
      </w:pPr>
      <w:r>
        <w:rPr>
          <w:rFonts w:ascii="楷体" w:eastAsia="楷体" w:hAnsi="楷体" w:hint="eastAsia"/>
          <w:color w:val="000000" w:themeColor="text1"/>
          <w:sz w:val="32"/>
        </w:rPr>
        <w:t xml:space="preserve">  3.简易程序适用率情况</w:t>
      </w:r>
    </w:p>
    <w:p w:rsidR="00025DD3" w:rsidRDefault="00025DD3">
      <w:pPr>
        <w:spacing w:line="605" w:lineRule="exact"/>
        <w:ind w:right="184" w:firstLineChars="196" w:firstLine="627"/>
        <w:rPr>
          <w:rFonts w:ascii="楷体" w:eastAsia="楷体" w:hAnsi="楷体"/>
          <w:sz w:val="32"/>
        </w:rPr>
      </w:pPr>
    </w:p>
    <w:p w:rsidR="00025DD3" w:rsidRDefault="00922F28">
      <w:pPr>
        <w:spacing w:line="360" w:lineRule="auto"/>
        <w:ind w:leftChars="150" w:left="300" w:firstLineChars="200" w:firstLine="580"/>
        <w:rPr>
          <w:rFonts w:ascii="新宋体" w:eastAsia="新宋体" w:hAnsi="新宋体"/>
          <w:color w:val="000000" w:themeColor="text1"/>
          <w:sz w:val="29"/>
          <w:szCs w:val="29"/>
        </w:rPr>
      </w:pPr>
      <w:r>
        <w:rPr>
          <w:rFonts w:ascii="新宋体" w:eastAsia="新宋体" w:hAnsi="新宋体" w:hint="eastAsia"/>
          <w:color w:val="000000" w:themeColor="text1"/>
          <w:sz w:val="29"/>
          <w:szCs w:val="29"/>
        </w:rPr>
        <w:t>1-</w:t>
      </w:r>
      <w:r w:rsidR="0063750B">
        <w:rPr>
          <w:rFonts w:ascii="新宋体" w:eastAsia="新宋体" w:hAnsi="新宋体" w:hint="eastAsia"/>
          <w:color w:val="000000" w:themeColor="text1"/>
          <w:sz w:val="29"/>
          <w:szCs w:val="29"/>
        </w:rPr>
        <w:t>6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月，我</w:t>
      </w:r>
      <w:r w:rsidR="00B17BCD" w:rsidRPr="007D3775">
        <w:rPr>
          <w:rFonts w:ascii="新宋体" w:eastAsia="新宋体" w:hAnsi="新宋体" w:hint="eastAsia"/>
          <w:color w:val="000000" w:themeColor="text1"/>
          <w:sz w:val="29"/>
          <w:szCs w:val="29"/>
        </w:rPr>
        <w:t>院一审案件简易程序适用率如下所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示：</w:t>
      </w:r>
    </w:p>
    <w:tbl>
      <w:tblPr>
        <w:tblW w:w="9355" w:type="dxa"/>
        <w:tblInd w:w="392" w:type="dxa"/>
        <w:tblLayout w:type="fixed"/>
        <w:tblLook w:val="04A0"/>
      </w:tblPr>
      <w:tblGrid>
        <w:gridCol w:w="567"/>
        <w:gridCol w:w="567"/>
        <w:gridCol w:w="992"/>
        <w:gridCol w:w="709"/>
        <w:gridCol w:w="567"/>
        <w:gridCol w:w="992"/>
        <w:gridCol w:w="567"/>
        <w:gridCol w:w="709"/>
        <w:gridCol w:w="992"/>
        <w:gridCol w:w="709"/>
        <w:gridCol w:w="709"/>
        <w:gridCol w:w="17"/>
        <w:gridCol w:w="1258"/>
      </w:tblGrid>
      <w:tr w:rsidR="00025DD3">
        <w:trPr>
          <w:trHeight w:val="431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刑事一审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民事一审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行政一审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 xml:space="preserve"> 合计</w:t>
            </w:r>
          </w:p>
        </w:tc>
      </w:tr>
      <w:tr w:rsidR="00025DD3">
        <w:trPr>
          <w:trHeight w:val="8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简易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普通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简易程序适用率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简易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普通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简易程序适用率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简易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普通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简易程序适用率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简易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普通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B17BCD">
            <w:pPr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简易程序适用率</w:t>
            </w:r>
          </w:p>
        </w:tc>
      </w:tr>
      <w:tr w:rsidR="00025DD3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31.89%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92.82</w:t>
            </w:r>
            <w:r w:rsidR="00B17BCD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85.00</w:t>
            </w:r>
            <w:r w:rsidR="00B17BCD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389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DD3" w:rsidRDefault="000575B9">
            <w:pPr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89.84</w:t>
            </w:r>
            <w:r w:rsidR="00B17BCD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%</w:t>
            </w:r>
          </w:p>
        </w:tc>
      </w:tr>
    </w:tbl>
    <w:p w:rsidR="00025DD3" w:rsidRDefault="00025DD3">
      <w:pPr>
        <w:spacing w:line="360" w:lineRule="auto"/>
        <w:rPr>
          <w:rFonts w:ascii="新宋体" w:eastAsia="新宋体" w:hAnsi="新宋体"/>
          <w:color w:val="000000" w:themeColor="text1"/>
          <w:sz w:val="30"/>
          <w:szCs w:val="30"/>
        </w:rPr>
      </w:pPr>
    </w:p>
    <w:p w:rsidR="00025DD3" w:rsidRDefault="00B17BCD" w:rsidP="007A5580">
      <w:pPr>
        <w:spacing w:line="605" w:lineRule="exact"/>
        <w:ind w:right="184" w:firstLineChars="196" w:firstLine="627"/>
        <w:rPr>
          <w:rFonts w:ascii="楷体" w:eastAsia="楷体" w:hAnsi="楷体"/>
          <w:color w:val="000000" w:themeColor="text1"/>
          <w:sz w:val="32"/>
        </w:rPr>
      </w:pPr>
      <w:r>
        <w:rPr>
          <w:rFonts w:ascii="楷体" w:eastAsia="楷体" w:hAnsi="楷体" w:hint="eastAsia"/>
          <w:color w:val="000000" w:themeColor="text1"/>
          <w:sz w:val="32"/>
        </w:rPr>
        <w:t>4.诉讼案件平均审理天数</w:t>
      </w:r>
    </w:p>
    <w:p w:rsidR="00025DD3" w:rsidRDefault="00B17BCD">
      <w:pPr>
        <w:spacing w:line="586" w:lineRule="exact"/>
        <w:ind w:left="360" w:right="204" w:firstLine="630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sz w:val="29"/>
        </w:rPr>
        <w:t>前郭法院</w:t>
      </w:r>
      <w:r>
        <w:rPr>
          <w:rFonts w:ascii="新宋体" w:eastAsia="新宋体" w:hAnsi="新宋体"/>
          <w:sz w:val="29"/>
        </w:rPr>
        <w:t>案件平均审理天</w:t>
      </w:r>
      <w:r w:rsidRPr="0016118C">
        <w:rPr>
          <w:rFonts w:ascii="新宋体" w:eastAsia="新宋体" w:hAnsi="新宋体"/>
          <w:sz w:val="29"/>
        </w:rPr>
        <w:t>数为</w:t>
      </w:r>
      <w:r w:rsidR="00E426B4">
        <w:rPr>
          <w:rFonts w:ascii="新宋体" w:eastAsia="新宋体" w:hAnsi="新宋体" w:hint="eastAsia"/>
          <w:sz w:val="29"/>
        </w:rPr>
        <w:t>30.4</w:t>
      </w:r>
      <w:r w:rsidRPr="0016118C">
        <w:rPr>
          <w:rFonts w:ascii="新宋体" w:eastAsia="新宋体" w:hAnsi="新宋体" w:hint="eastAsia"/>
          <w:sz w:val="29"/>
        </w:rPr>
        <w:t xml:space="preserve"> </w:t>
      </w:r>
      <w:r w:rsidRPr="0016118C">
        <w:rPr>
          <w:rFonts w:ascii="新宋体" w:eastAsia="新宋体" w:hAnsi="新宋体"/>
          <w:sz w:val="29"/>
        </w:rPr>
        <w:t>天，同比</w:t>
      </w:r>
      <w:r w:rsidR="00922F28">
        <w:rPr>
          <w:rFonts w:ascii="新宋体" w:eastAsia="新宋体" w:hAnsi="新宋体" w:hint="eastAsia"/>
          <w:sz w:val="29"/>
        </w:rPr>
        <w:t>减少</w:t>
      </w:r>
      <w:r w:rsidR="00E426B4">
        <w:rPr>
          <w:rFonts w:ascii="新宋体" w:eastAsia="新宋体" w:hAnsi="新宋体" w:hint="eastAsia"/>
          <w:sz w:val="29"/>
        </w:rPr>
        <w:t>3.3</w:t>
      </w:r>
      <w:r w:rsidRPr="0016118C">
        <w:rPr>
          <w:rFonts w:ascii="新宋体" w:eastAsia="新宋体" w:hAnsi="新宋体"/>
          <w:sz w:val="29"/>
        </w:rPr>
        <w:t>天。</w:t>
      </w:r>
      <w:r w:rsidRPr="0016118C">
        <w:rPr>
          <w:rFonts w:ascii="新宋体" w:eastAsia="新宋体" w:hAnsi="新宋体" w:hint="eastAsia"/>
          <w:sz w:val="29"/>
        </w:rPr>
        <w:t>其</w:t>
      </w:r>
      <w:r w:rsidRPr="0016118C">
        <w:rPr>
          <w:rFonts w:ascii="新宋体" w:eastAsia="新宋体" w:hAnsi="新宋体"/>
          <w:sz w:val="29"/>
        </w:rPr>
        <w:t>中，刑事案件平均审理天数为</w:t>
      </w:r>
      <w:r w:rsidR="00E426B4">
        <w:rPr>
          <w:rFonts w:ascii="新宋体" w:eastAsia="新宋体" w:hAnsi="新宋体" w:hint="eastAsia"/>
          <w:sz w:val="29"/>
        </w:rPr>
        <w:t>41.2</w:t>
      </w:r>
      <w:r w:rsidRPr="0016118C">
        <w:rPr>
          <w:rFonts w:ascii="新宋体" w:eastAsia="新宋体" w:hAnsi="新宋体"/>
          <w:sz w:val="29"/>
        </w:rPr>
        <w:t>天</w:t>
      </w:r>
      <w:r w:rsidRPr="0016118C">
        <w:rPr>
          <w:rFonts w:ascii="新宋体" w:eastAsia="新宋体" w:hAnsi="新宋体" w:hint="eastAsia"/>
          <w:sz w:val="29"/>
        </w:rPr>
        <w:t>；</w:t>
      </w:r>
      <w:r w:rsidRPr="0016118C">
        <w:rPr>
          <w:rFonts w:ascii="新宋体" w:eastAsia="新宋体" w:hAnsi="新宋体"/>
          <w:sz w:val="29"/>
        </w:rPr>
        <w:t>民事案件平均审理天数为</w:t>
      </w:r>
      <w:r w:rsidRPr="0016118C">
        <w:rPr>
          <w:rFonts w:ascii="新宋体" w:eastAsia="新宋体" w:hAnsi="新宋体" w:hint="eastAsia"/>
          <w:sz w:val="29"/>
        </w:rPr>
        <w:t xml:space="preserve"> </w:t>
      </w:r>
      <w:r w:rsidR="00E426B4">
        <w:rPr>
          <w:rFonts w:ascii="新宋体" w:eastAsia="新宋体" w:hAnsi="新宋体" w:hint="eastAsia"/>
          <w:sz w:val="29"/>
        </w:rPr>
        <w:t>30.4</w:t>
      </w:r>
      <w:r w:rsidRPr="0016118C">
        <w:rPr>
          <w:rFonts w:ascii="新宋体" w:eastAsia="新宋体" w:hAnsi="新宋体"/>
          <w:sz w:val="29"/>
        </w:rPr>
        <w:t>天；行政案件</w:t>
      </w:r>
      <w:r w:rsidRPr="0016118C">
        <w:rPr>
          <w:rFonts w:ascii="新宋体" w:eastAsia="新宋体" w:hAnsi="新宋体" w:hint="eastAsia"/>
          <w:sz w:val="29"/>
        </w:rPr>
        <w:t>平均审理天数为</w:t>
      </w:r>
      <w:r w:rsidR="00E426B4">
        <w:rPr>
          <w:rFonts w:ascii="新宋体" w:eastAsia="新宋体" w:hAnsi="新宋体" w:hint="eastAsia"/>
          <w:sz w:val="29"/>
        </w:rPr>
        <w:t>29.4</w:t>
      </w:r>
      <w:r w:rsidRPr="0016118C">
        <w:rPr>
          <w:rFonts w:ascii="新宋体" w:eastAsia="新宋体" w:hAnsi="新宋体"/>
          <w:sz w:val="29"/>
        </w:rPr>
        <w:t>天。</w:t>
      </w:r>
      <w:r w:rsidRPr="0016118C">
        <w:rPr>
          <w:rFonts w:ascii="新宋体" w:eastAsia="新宋体" w:hAnsi="新宋体" w:hint="eastAsia"/>
          <w:sz w:val="29"/>
        </w:rPr>
        <w:t>诉讼</w:t>
      </w:r>
      <w:r w:rsidRPr="0016118C">
        <w:rPr>
          <w:rFonts w:ascii="新宋体" w:eastAsia="新宋体" w:hAnsi="新宋体"/>
          <w:sz w:val="29"/>
        </w:rPr>
        <w:t>各部门平均审理</w:t>
      </w:r>
      <w:r>
        <w:rPr>
          <w:rFonts w:ascii="新宋体" w:eastAsia="新宋体" w:hAnsi="新宋体" w:hint="eastAsia"/>
          <w:sz w:val="29"/>
        </w:rPr>
        <w:t>天数如下</w:t>
      </w:r>
      <w:r>
        <w:rPr>
          <w:rFonts w:ascii="新宋体" w:eastAsia="新宋体" w:hAnsi="新宋体" w:hint="eastAsia"/>
          <w:color w:val="000000" w:themeColor="text1"/>
          <w:sz w:val="29"/>
        </w:rPr>
        <w:t>：</w:t>
      </w:r>
    </w:p>
    <w:tbl>
      <w:tblPr>
        <w:tblpPr w:leftFromText="180" w:rightFromText="180" w:vertAnchor="text" w:horzAnchor="margin" w:tblpXSpec="center" w:tblpY="439"/>
        <w:tblW w:w="84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24"/>
        <w:gridCol w:w="2359"/>
        <w:gridCol w:w="2980"/>
      </w:tblGrid>
      <w:tr w:rsidR="00025DD3">
        <w:trPr>
          <w:trHeight w:val="38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229" w:lineRule="exact"/>
              <w:ind w:right="1160"/>
              <w:jc w:val="center"/>
              <w:rPr>
                <w:rFonts w:ascii="宋体" w:eastAsia="宋体" w:hAnsi="宋体"/>
                <w:b/>
                <w:color w:val="000000" w:themeColor="text1"/>
                <w:w w:val="99"/>
              </w:rPr>
            </w:pPr>
          </w:p>
          <w:p w:rsidR="00025DD3" w:rsidRDefault="0016118C">
            <w:pPr>
              <w:spacing w:line="229" w:lineRule="exact"/>
              <w:ind w:right="1160"/>
              <w:jc w:val="center"/>
              <w:rPr>
                <w:rFonts w:ascii="宋体" w:eastAsia="宋体" w:hAnsi="宋体"/>
                <w:b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w w:val="99"/>
              </w:rPr>
              <w:t xml:space="preserve">         </w:t>
            </w:r>
            <w:r w:rsidR="00B17BCD">
              <w:rPr>
                <w:rFonts w:ascii="宋体" w:eastAsia="宋体" w:hAnsi="宋体"/>
                <w:b/>
                <w:color w:val="000000" w:themeColor="text1"/>
                <w:w w:val="99"/>
              </w:rPr>
              <w:t>部 门</w:t>
            </w:r>
          </w:p>
        </w:tc>
        <w:tc>
          <w:tcPr>
            <w:tcW w:w="23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229" w:lineRule="exact"/>
              <w:jc w:val="center"/>
              <w:rPr>
                <w:rFonts w:ascii="宋体" w:eastAsia="宋体" w:hAnsi="宋体"/>
                <w:b/>
                <w:color w:val="000000" w:themeColor="text1"/>
                <w:w w:val="99"/>
              </w:rPr>
            </w:pPr>
            <w:r>
              <w:rPr>
                <w:rFonts w:ascii="宋体" w:eastAsia="宋体" w:hAnsi="宋体"/>
                <w:b/>
                <w:color w:val="000000" w:themeColor="text1"/>
                <w:w w:val="99"/>
              </w:rPr>
              <w:t>平均审理天数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</w:tcPr>
          <w:p w:rsidR="00025DD3" w:rsidRDefault="00025DD3">
            <w:pPr>
              <w:spacing w:line="229" w:lineRule="exact"/>
              <w:jc w:val="center"/>
              <w:rPr>
                <w:rFonts w:ascii="宋体" w:eastAsia="宋体" w:hAnsi="宋体"/>
                <w:b/>
                <w:color w:val="000000" w:themeColor="text1"/>
                <w:w w:val="99"/>
              </w:rPr>
            </w:pPr>
          </w:p>
          <w:p w:rsidR="00025DD3" w:rsidRDefault="00B17BCD">
            <w:pPr>
              <w:spacing w:line="229" w:lineRule="exact"/>
              <w:jc w:val="center"/>
              <w:rPr>
                <w:rFonts w:ascii="宋体" w:eastAsia="宋体" w:hAnsi="宋体"/>
                <w:b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w w:val="99"/>
              </w:rPr>
              <w:t>同比变化</w:t>
            </w:r>
          </w:p>
        </w:tc>
      </w:tr>
      <w:tr w:rsidR="00025DD3">
        <w:trPr>
          <w:trHeight w:val="176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5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5"/>
              </w:rPr>
            </w:pPr>
          </w:p>
        </w:tc>
      </w:tr>
      <w:tr w:rsidR="00025DD3">
        <w:trPr>
          <w:trHeight w:val="309"/>
        </w:trPr>
        <w:tc>
          <w:tcPr>
            <w:tcW w:w="312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>诉讼服务中心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32A7A" w:rsidRPr="00C32A7A" w:rsidRDefault="00922F28" w:rsidP="00C32A7A">
            <w:pPr>
              <w:spacing w:line="229" w:lineRule="exact"/>
              <w:jc w:val="center"/>
              <w:rPr>
                <w:rFonts w:ascii="simsun" w:hAnsi="simsun" w:hint="eastAsia"/>
                <w:sz w:val="18"/>
                <w:szCs w:val="18"/>
              </w:rPr>
            </w:pPr>
            <w:r>
              <w:rPr>
                <w:rFonts w:ascii="simsun" w:hAnsi="simsun" w:hint="eastAsia"/>
                <w:sz w:val="18"/>
                <w:szCs w:val="18"/>
              </w:rPr>
              <w:t>1</w:t>
            </w:r>
            <w:r w:rsidR="00A57D41">
              <w:rPr>
                <w:rFonts w:ascii="simsun" w:hAnsi="simsun" w:hint="eastAsia"/>
                <w:sz w:val="18"/>
                <w:szCs w:val="18"/>
              </w:rPr>
              <w:t>0.3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025DD3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-1.9</w:t>
            </w:r>
          </w:p>
        </w:tc>
      </w:tr>
      <w:tr w:rsidR="00025DD3">
        <w:trPr>
          <w:trHeight w:val="117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5DD3">
        <w:trPr>
          <w:trHeight w:val="30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229" w:lineRule="exact"/>
              <w:ind w:right="709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 xml:space="preserve">       行政审判庭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5DD3" w:rsidRPr="00A57D41" w:rsidRDefault="00A57D41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 w:rsidRPr="00A57D41">
              <w:rPr>
                <w:rFonts w:ascii="microsoft yahei" w:hAnsi="microsoft yahei" w:hint="eastAsia"/>
                <w:sz w:val="18"/>
                <w:szCs w:val="18"/>
              </w:rPr>
              <w:t>37.6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025DD3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-1.2</w:t>
            </w:r>
          </w:p>
        </w:tc>
      </w:tr>
      <w:tr w:rsidR="00025DD3">
        <w:trPr>
          <w:trHeight w:val="117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A57D41" w:rsidRDefault="00025DD3">
            <w:pPr>
              <w:spacing w:line="0" w:lineRule="atLeast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5DD3">
        <w:trPr>
          <w:trHeight w:val="308"/>
        </w:trPr>
        <w:tc>
          <w:tcPr>
            <w:tcW w:w="312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 xml:space="preserve"> 查干湖人民法庭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A57D41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22.1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16118C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-13.9</w:t>
            </w:r>
          </w:p>
        </w:tc>
      </w:tr>
      <w:tr w:rsidR="00025DD3">
        <w:trPr>
          <w:trHeight w:val="117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5DD3">
        <w:trPr>
          <w:trHeight w:val="308"/>
        </w:trPr>
        <w:tc>
          <w:tcPr>
            <w:tcW w:w="312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>速裁审判庭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A57D41" w:rsidP="0016118C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23.4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025DD3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1.2</w:t>
            </w:r>
          </w:p>
        </w:tc>
      </w:tr>
      <w:tr w:rsidR="00025DD3">
        <w:trPr>
          <w:trHeight w:val="116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5DD3">
        <w:trPr>
          <w:trHeight w:val="309"/>
        </w:trPr>
        <w:tc>
          <w:tcPr>
            <w:tcW w:w="312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>刑事审判庭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A57D41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39.3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025DD3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0.9</w:t>
            </w:r>
          </w:p>
        </w:tc>
      </w:tr>
      <w:tr w:rsidR="00025DD3">
        <w:trPr>
          <w:trHeight w:val="116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5DD3">
        <w:trPr>
          <w:trHeight w:val="309"/>
        </w:trPr>
        <w:tc>
          <w:tcPr>
            <w:tcW w:w="312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>前郭人民法庭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A57D41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44.0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025DD3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7.9</w:t>
            </w:r>
          </w:p>
        </w:tc>
      </w:tr>
      <w:tr w:rsidR="00025DD3">
        <w:trPr>
          <w:trHeight w:val="116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5DD3">
        <w:trPr>
          <w:trHeight w:val="308"/>
        </w:trPr>
        <w:tc>
          <w:tcPr>
            <w:tcW w:w="312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>民事审判第一庭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A57D41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37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025DD3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-3.0</w:t>
            </w:r>
          </w:p>
        </w:tc>
      </w:tr>
      <w:tr w:rsidR="00025DD3">
        <w:trPr>
          <w:trHeight w:val="93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5DD3">
        <w:trPr>
          <w:trHeight w:val="195"/>
        </w:trPr>
        <w:tc>
          <w:tcPr>
            <w:tcW w:w="312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17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>民事审判第二庭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A57D41">
            <w:pPr>
              <w:spacing w:line="229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48.1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025DD3" w:rsidRPr="00936F6C" w:rsidRDefault="00A57D41" w:rsidP="008C76F2">
            <w:pPr>
              <w:spacing w:beforeLines="50" w:line="229" w:lineRule="exac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-12.2</w:t>
            </w:r>
          </w:p>
        </w:tc>
      </w:tr>
      <w:tr w:rsidR="00025DD3">
        <w:trPr>
          <w:trHeight w:val="69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5DD3">
        <w:trPr>
          <w:trHeight w:val="308"/>
        </w:trPr>
        <w:tc>
          <w:tcPr>
            <w:tcW w:w="3124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>巡回法庭</w:t>
            </w:r>
          </w:p>
        </w:tc>
        <w:tc>
          <w:tcPr>
            <w:tcW w:w="235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A57D41" w:rsidP="008C4395">
            <w:pPr>
              <w:spacing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47.7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025DD3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-3.5</w:t>
            </w:r>
          </w:p>
        </w:tc>
      </w:tr>
      <w:tr w:rsidR="00025DD3">
        <w:trPr>
          <w:trHeight w:val="117"/>
        </w:trPr>
        <w:tc>
          <w:tcPr>
            <w:tcW w:w="31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025DD3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0"/>
              </w:rPr>
            </w:pPr>
          </w:p>
        </w:tc>
        <w:tc>
          <w:tcPr>
            <w:tcW w:w="235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4" w:space="0" w:color="auto"/>
            </w:tcBorders>
          </w:tcPr>
          <w:p w:rsidR="00025DD3" w:rsidRPr="00936F6C" w:rsidRDefault="00025DD3">
            <w:pPr>
              <w:spacing w:line="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025DD3">
        <w:trPr>
          <w:trHeight w:val="308"/>
        </w:trPr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 w:rsidP="008C76F2">
            <w:pPr>
              <w:spacing w:beforeLines="50" w:after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t>乌兰图嘎法庭</w:t>
            </w:r>
          </w:p>
        </w:tc>
        <w:tc>
          <w:tcPr>
            <w:tcW w:w="235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DD3" w:rsidRPr="00936F6C" w:rsidRDefault="00A57D41">
            <w:pPr>
              <w:adjustRightInd w:val="0"/>
              <w:snapToGrid w:val="0"/>
              <w:spacing w:before="100" w:beforeAutospacing="1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37.6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12744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-9.7</w:t>
            </w:r>
          </w:p>
        </w:tc>
      </w:tr>
      <w:tr w:rsidR="00025DD3">
        <w:trPr>
          <w:trHeight w:val="308"/>
        </w:trPr>
        <w:tc>
          <w:tcPr>
            <w:tcW w:w="3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5DD3" w:rsidRDefault="00B17BCD" w:rsidP="008C76F2">
            <w:pPr>
              <w:spacing w:beforeLines="50" w:after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</w:rPr>
            </w:pPr>
            <w:r>
              <w:rPr>
                <w:rFonts w:ascii="宋体" w:eastAsia="宋体" w:hAnsi="宋体" w:hint="eastAsia"/>
                <w:color w:val="000000" w:themeColor="text1"/>
                <w:w w:val="99"/>
              </w:rPr>
              <w:lastRenderedPageBreak/>
              <w:t>长山人民法庭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41" w:rsidRPr="00936F6C" w:rsidRDefault="00A57D41" w:rsidP="00A57D41">
            <w:pPr>
              <w:jc w:val="center"/>
              <w:rPr>
                <w:rFonts w:ascii="宋体" w:hAnsi="宋体"/>
                <w:color w:val="000000" w:themeColor="text1"/>
                <w:w w:val="99"/>
              </w:rPr>
            </w:pPr>
            <w:r>
              <w:rPr>
                <w:rFonts w:hint="eastAsia"/>
              </w:rPr>
              <w:t>29.2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D3" w:rsidRPr="00936F6C" w:rsidRDefault="00A57D41" w:rsidP="008C76F2">
            <w:pPr>
              <w:spacing w:beforeLines="50" w:line="229" w:lineRule="exact"/>
              <w:jc w:val="center"/>
              <w:rPr>
                <w:rFonts w:ascii="宋体" w:eastAsia="宋体" w:hAnsi="宋体"/>
                <w:color w:val="000000" w:themeColor="text1"/>
                <w:w w:val="99"/>
                <w:sz w:val="18"/>
                <w:szCs w:val="18"/>
              </w:rPr>
            </w:pPr>
            <w:r>
              <w:rPr>
                <w:rFonts w:ascii="microsoft yahei" w:hAnsi="microsoft yahei" w:hint="eastAsia"/>
                <w:sz w:val="18"/>
                <w:szCs w:val="18"/>
              </w:rPr>
              <w:t>-17.1</w:t>
            </w:r>
          </w:p>
        </w:tc>
      </w:tr>
    </w:tbl>
    <w:p w:rsidR="00025DD3" w:rsidRPr="00D12744" w:rsidRDefault="00D12744" w:rsidP="00D12744">
      <w:pPr>
        <w:spacing w:line="605" w:lineRule="exact"/>
        <w:ind w:right="184" w:firstLineChars="295" w:firstLine="855"/>
        <w:rPr>
          <w:rFonts w:ascii="新宋体" w:eastAsia="新宋体" w:hAnsi="新宋体"/>
          <w:bCs/>
          <w:color w:val="000000" w:themeColor="text1"/>
          <w:sz w:val="29"/>
        </w:rPr>
      </w:pPr>
      <w:r>
        <w:rPr>
          <w:rFonts w:ascii="新宋体" w:eastAsia="新宋体" w:hAnsi="新宋体"/>
          <w:bCs/>
          <w:color w:val="000000" w:themeColor="text1"/>
          <w:sz w:val="29"/>
        </w:rPr>
        <w:t xml:space="preserve"> </w:t>
      </w:r>
    </w:p>
    <w:p w:rsidR="00025DD3" w:rsidRDefault="00D12744" w:rsidP="007A5580">
      <w:pPr>
        <w:spacing w:line="605" w:lineRule="exact"/>
        <w:ind w:leftChars="240" w:left="480" w:right="340" w:firstLineChars="144" w:firstLine="461"/>
        <w:rPr>
          <w:rFonts w:ascii="楷体" w:eastAsia="楷体" w:hAnsi="楷体"/>
          <w:color w:val="000000" w:themeColor="text1"/>
          <w:sz w:val="32"/>
        </w:rPr>
      </w:pPr>
      <w:r>
        <w:rPr>
          <w:rFonts w:ascii="楷体" w:eastAsia="楷体" w:hAnsi="楷体" w:hint="eastAsia"/>
          <w:color w:val="000000" w:themeColor="text1"/>
          <w:sz w:val="32"/>
        </w:rPr>
        <w:t>5</w:t>
      </w:r>
      <w:r w:rsidR="00B17BCD">
        <w:rPr>
          <w:rFonts w:ascii="楷体" w:eastAsia="楷体" w:hAnsi="楷体"/>
          <w:color w:val="000000" w:themeColor="text1"/>
          <w:sz w:val="32"/>
        </w:rPr>
        <w:t>.人均</w:t>
      </w:r>
      <w:r w:rsidR="00B17BCD">
        <w:rPr>
          <w:rFonts w:ascii="楷体" w:eastAsia="楷体" w:hAnsi="楷体" w:hint="eastAsia"/>
          <w:color w:val="000000" w:themeColor="text1"/>
          <w:sz w:val="32"/>
        </w:rPr>
        <w:t>收结</w:t>
      </w:r>
      <w:r w:rsidR="00B17BCD">
        <w:rPr>
          <w:rFonts w:ascii="楷体" w:eastAsia="楷体" w:hAnsi="楷体"/>
          <w:color w:val="000000" w:themeColor="text1"/>
          <w:sz w:val="32"/>
        </w:rPr>
        <w:t>案件情况</w:t>
      </w:r>
    </w:p>
    <w:p w:rsidR="00025DD3" w:rsidRDefault="00D12744" w:rsidP="007A5580">
      <w:pPr>
        <w:spacing w:line="605" w:lineRule="exact"/>
        <w:ind w:leftChars="240" w:left="480" w:right="340" w:firstLineChars="194" w:firstLine="563"/>
        <w:rPr>
          <w:rFonts w:ascii="新宋体" w:eastAsia="新宋体" w:hAnsi="新宋体"/>
          <w:sz w:val="29"/>
          <w:szCs w:val="29"/>
        </w:rPr>
      </w:pPr>
      <w:r>
        <w:rPr>
          <w:rFonts w:ascii="新宋体" w:eastAsia="新宋体" w:hAnsi="新宋体" w:hint="eastAsia"/>
          <w:color w:val="000000" w:themeColor="text1"/>
          <w:sz w:val="29"/>
          <w:szCs w:val="29"/>
        </w:rPr>
        <w:t>1-</w:t>
      </w:r>
      <w:r w:rsidR="00A57D41">
        <w:rPr>
          <w:rFonts w:ascii="新宋体" w:eastAsia="新宋体" w:hAnsi="新宋体" w:hint="eastAsia"/>
          <w:color w:val="000000" w:themeColor="text1"/>
          <w:sz w:val="29"/>
          <w:szCs w:val="29"/>
        </w:rPr>
        <w:t>6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月</w:t>
      </w:r>
      <w:r w:rsidR="00B17BCD">
        <w:rPr>
          <w:rFonts w:ascii="新宋体" w:eastAsia="新宋体" w:hAnsi="新宋体"/>
          <w:color w:val="000000" w:themeColor="text1"/>
          <w:sz w:val="29"/>
          <w:szCs w:val="29"/>
        </w:rPr>
        <w:t>，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前郭</w:t>
      </w:r>
      <w:r w:rsidR="00B17BCD">
        <w:rPr>
          <w:rFonts w:ascii="新宋体" w:eastAsia="新宋体" w:hAnsi="新宋体"/>
          <w:color w:val="000000" w:themeColor="text1"/>
          <w:sz w:val="29"/>
          <w:szCs w:val="29"/>
        </w:rPr>
        <w:t>法院</w:t>
      </w:r>
      <w:r w:rsidR="00B17BCD">
        <w:rPr>
          <w:rFonts w:ascii="新宋体" w:eastAsia="新宋体" w:hAnsi="新宋体" w:hint="eastAsia"/>
          <w:color w:val="000000" w:themeColor="text1"/>
          <w:sz w:val="29"/>
          <w:szCs w:val="29"/>
        </w:rPr>
        <w:t>各</w:t>
      </w:r>
      <w:r w:rsidR="00B17BCD">
        <w:rPr>
          <w:rFonts w:ascii="新宋体" w:eastAsia="新宋体" w:hAnsi="新宋体"/>
          <w:sz w:val="29"/>
          <w:szCs w:val="29"/>
        </w:rPr>
        <w:t>业务部门人均受案</w:t>
      </w:r>
      <w:r w:rsidR="00A64B2E">
        <w:rPr>
          <w:rFonts w:ascii="新宋体" w:eastAsia="新宋体" w:hAnsi="新宋体" w:hint="eastAsia"/>
          <w:sz w:val="29"/>
          <w:szCs w:val="29"/>
        </w:rPr>
        <w:t>135.31</w:t>
      </w:r>
      <w:r w:rsidR="00B17BCD">
        <w:rPr>
          <w:rFonts w:ascii="新宋体" w:eastAsia="新宋体" w:hAnsi="新宋体" w:hint="eastAsia"/>
          <w:sz w:val="29"/>
          <w:szCs w:val="29"/>
        </w:rPr>
        <w:t>件,排名第</w:t>
      </w:r>
      <w:r w:rsidR="004C54C6">
        <w:rPr>
          <w:rFonts w:ascii="新宋体" w:eastAsia="新宋体" w:hAnsi="新宋体" w:hint="eastAsia"/>
          <w:sz w:val="29"/>
          <w:szCs w:val="29"/>
        </w:rPr>
        <w:t>21</w:t>
      </w:r>
      <w:r w:rsidR="00B17BCD">
        <w:rPr>
          <w:rFonts w:ascii="新宋体" w:eastAsia="新宋体" w:hAnsi="新宋体" w:hint="eastAsia"/>
          <w:sz w:val="29"/>
          <w:szCs w:val="29"/>
        </w:rPr>
        <w:t>位，全市排名第</w:t>
      </w:r>
      <w:r w:rsidR="00A64B2E">
        <w:rPr>
          <w:rFonts w:ascii="新宋体" w:eastAsia="新宋体" w:hAnsi="新宋体" w:hint="eastAsia"/>
          <w:sz w:val="29"/>
          <w:szCs w:val="29"/>
        </w:rPr>
        <w:t>3</w:t>
      </w:r>
      <w:r w:rsidR="00B17BCD">
        <w:rPr>
          <w:rFonts w:ascii="新宋体" w:eastAsia="新宋体" w:hAnsi="新宋体" w:hint="eastAsia"/>
          <w:sz w:val="29"/>
          <w:szCs w:val="29"/>
        </w:rPr>
        <w:t>位；</w:t>
      </w:r>
      <w:r w:rsidR="00B17BCD">
        <w:rPr>
          <w:rFonts w:ascii="新宋体" w:eastAsia="新宋体" w:hAnsi="新宋体"/>
          <w:sz w:val="29"/>
          <w:szCs w:val="29"/>
        </w:rPr>
        <w:t>人均结案</w:t>
      </w:r>
      <w:r w:rsidR="0083501F">
        <w:rPr>
          <w:rFonts w:ascii="新宋体" w:eastAsia="新宋体" w:hAnsi="新宋体" w:hint="eastAsia"/>
          <w:sz w:val="29"/>
          <w:szCs w:val="29"/>
        </w:rPr>
        <w:t>119.56</w:t>
      </w:r>
      <w:r w:rsidR="00B17BCD">
        <w:rPr>
          <w:rFonts w:ascii="新宋体" w:eastAsia="新宋体" w:hAnsi="新宋体"/>
          <w:sz w:val="29"/>
          <w:szCs w:val="29"/>
        </w:rPr>
        <w:t>件，</w:t>
      </w:r>
      <w:r w:rsidR="00B17BCD">
        <w:rPr>
          <w:rFonts w:ascii="新宋体" w:eastAsia="新宋体" w:hAnsi="新宋体" w:hint="eastAsia"/>
          <w:sz w:val="29"/>
          <w:szCs w:val="29"/>
        </w:rPr>
        <w:t>全省排名第</w:t>
      </w:r>
      <w:r w:rsidR="004C54C6">
        <w:rPr>
          <w:rFonts w:ascii="新宋体" w:eastAsia="新宋体" w:hAnsi="新宋体" w:hint="eastAsia"/>
          <w:sz w:val="29"/>
          <w:szCs w:val="29"/>
        </w:rPr>
        <w:t>22</w:t>
      </w:r>
      <w:r w:rsidR="00B17BCD">
        <w:rPr>
          <w:rFonts w:ascii="新宋体" w:eastAsia="新宋体" w:hAnsi="新宋体" w:hint="eastAsia"/>
          <w:sz w:val="29"/>
          <w:szCs w:val="29"/>
        </w:rPr>
        <w:t>位，全市排名第</w:t>
      </w:r>
      <w:r w:rsidR="004C54C6">
        <w:rPr>
          <w:rFonts w:ascii="新宋体" w:eastAsia="新宋体" w:hAnsi="新宋体" w:hint="eastAsia"/>
          <w:sz w:val="29"/>
          <w:szCs w:val="29"/>
        </w:rPr>
        <w:t>2</w:t>
      </w:r>
      <w:r w:rsidR="00B17BCD">
        <w:rPr>
          <w:rFonts w:ascii="新宋体" w:eastAsia="新宋体" w:hAnsi="新宋体" w:hint="eastAsia"/>
          <w:sz w:val="29"/>
          <w:szCs w:val="29"/>
        </w:rPr>
        <w:t>位</w:t>
      </w:r>
      <w:r w:rsidR="00B17BCD">
        <w:rPr>
          <w:rFonts w:ascii="新宋体" w:eastAsia="新宋体" w:hAnsi="新宋体"/>
          <w:sz w:val="29"/>
          <w:szCs w:val="29"/>
        </w:rPr>
        <w:t>。</w:t>
      </w:r>
      <w:r w:rsidR="00B17BCD" w:rsidRPr="00C9420A">
        <w:rPr>
          <w:rFonts w:ascii="新宋体" w:eastAsia="新宋体" w:hAnsi="新宋体"/>
          <w:sz w:val="29"/>
          <w:szCs w:val="29"/>
        </w:rPr>
        <w:t>人均受案数量排在前三位的部门是：</w:t>
      </w:r>
      <w:r w:rsidR="00AF4E5E">
        <w:rPr>
          <w:rFonts w:ascii="新宋体" w:eastAsia="新宋体" w:hAnsi="新宋体" w:hint="eastAsia"/>
          <w:sz w:val="29"/>
          <w:szCs w:val="29"/>
        </w:rPr>
        <w:t>行政</w:t>
      </w:r>
      <w:r w:rsidR="00C9420A" w:rsidRPr="00C9420A">
        <w:rPr>
          <w:rFonts w:ascii="新宋体" w:eastAsia="新宋体" w:hAnsi="新宋体" w:hint="eastAsia"/>
          <w:sz w:val="29"/>
          <w:szCs w:val="29"/>
        </w:rPr>
        <w:t>审判庭、</w:t>
      </w:r>
      <w:r w:rsidR="00AF4E5E">
        <w:rPr>
          <w:rFonts w:ascii="新宋体" w:eastAsia="新宋体" w:hAnsi="新宋体" w:hint="eastAsia"/>
          <w:sz w:val="29"/>
          <w:szCs w:val="29"/>
        </w:rPr>
        <w:t>速裁</w:t>
      </w:r>
      <w:r w:rsidR="00B17BCD" w:rsidRPr="00C9420A">
        <w:rPr>
          <w:rFonts w:ascii="新宋体" w:eastAsia="新宋体" w:hAnsi="新宋体" w:hint="eastAsia"/>
          <w:sz w:val="29"/>
          <w:szCs w:val="29"/>
        </w:rPr>
        <w:t>审判庭、</w:t>
      </w:r>
      <w:r w:rsidR="00AF4E5E">
        <w:rPr>
          <w:rFonts w:ascii="新宋体" w:eastAsia="新宋体" w:hAnsi="新宋体" w:hint="eastAsia"/>
          <w:sz w:val="29"/>
          <w:szCs w:val="29"/>
        </w:rPr>
        <w:t>查干湖</w:t>
      </w:r>
      <w:r w:rsidR="00C9420A" w:rsidRPr="00C9420A">
        <w:rPr>
          <w:rFonts w:ascii="新宋体" w:eastAsia="新宋体" w:hAnsi="新宋体" w:hint="eastAsia"/>
          <w:sz w:val="29"/>
          <w:szCs w:val="29"/>
        </w:rPr>
        <w:t>人民法庭</w:t>
      </w:r>
      <w:r w:rsidR="00B17BCD" w:rsidRPr="00C9420A">
        <w:rPr>
          <w:rFonts w:ascii="新宋体" w:eastAsia="新宋体" w:hAnsi="新宋体"/>
          <w:sz w:val="29"/>
          <w:szCs w:val="29"/>
        </w:rPr>
        <w:t>。人均结案数量排</w:t>
      </w:r>
      <w:r w:rsidR="00B17BCD">
        <w:rPr>
          <w:rFonts w:ascii="新宋体" w:eastAsia="新宋体" w:hAnsi="新宋体"/>
          <w:sz w:val="29"/>
          <w:szCs w:val="29"/>
        </w:rPr>
        <w:t>在前</w:t>
      </w:r>
      <w:r w:rsidR="00B17BCD">
        <w:rPr>
          <w:rFonts w:ascii="新宋体" w:eastAsia="新宋体" w:hAnsi="新宋体" w:hint="eastAsia"/>
          <w:sz w:val="29"/>
          <w:szCs w:val="29"/>
        </w:rPr>
        <w:t>三</w:t>
      </w:r>
      <w:r w:rsidR="00B17BCD">
        <w:rPr>
          <w:rFonts w:ascii="新宋体" w:eastAsia="新宋体" w:hAnsi="新宋体"/>
          <w:sz w:val="29"/>
          <w:szCs w:val="29"/>
        </w:rPr>
        <w:t>位的部门分别是：</w:t>
      </w:r>
      <w:r w:rsidR="00545779">
        <w:rPr>
          <w:rFonts w:ascii="新宋体" w:eastAsia="新宋体" w:hAnsi="新宋体" w:hint="eastAsia"/>
          <w:sz w:val="29"/>
          <w:szCs w:val="29"/>
        </w:rPr>
        <w:t>诉讼服务中心</w:t>
      </w:r>
      <w:r w:rsidR="00EC2566">
        <w:rPr>
          <w:rFonts w:ascii="新宋体" w:eastAsia="新宋体" w:hAnsi="新宋体" w:hint="eastAsia"/>
          <w:sz w:val="29"/>
          <w:szCs w:val="29"/>
        </w:rPr>
        <w:t>、</w:t>
      </w:r>
      <w:r w:rsidR="00545779">
        <w:rPr>
          <w:rFonts w:ascii="新宋体" w:eastAsia="新宋体" w:hAnsi="新宋体" w:hint="eastAsia"/>
          <w:sz w:val="29"/>
          <w:szCs w:val="29"/>
        </w:rPr>
        <w:t>速裁审判庭</w:t>
      </w:r>
      <w:r w:rsidR="00EC2566">
        <w:rPr>
          <w:rFonts w:ascii="新宋体" w:eastAsia="新宋体" w:hAnsi="新宋体" w:hint="eastAsia"/>
          <w:sz w:val="29"/>
          <w:szCs w:val="29"/>
        </w:rPr>
        <w:t>、</w:t>
      </w:r>
      <w:r w:rsidR="00545779">
        <w:rPr>
          <w:rFonts w:ascii="新宋体" w:eastAsia="新宋体" w:hAnsi="新宋体" w:hint="eastAsia"/>
          <w:sz w:val="29"/>
          <w:szCs w:val="29"/>
        </w:rPr>
        <w:t>行政审判庭</w:t>
      </w:r>
      <w:r w:rsidR="00EC2566">
        <w:rPr>
          <w:rFonts w:ascii="新宋体" w:eastAsia="新宋体" w:hAnsi="新宋体" w:hint="eastAsia"/>
          <w:sz w:val="29"/>
          <w:szCs w:val="29"/>
        </w:rPr>
        <w:t>。</w:t>
      </w:r>
      <w:r w:rsidR="00EC2566">
        <w:rPr>
          <w:rFonts w:ascii="新宋体" w:eastAsia="新宋体" w:hAnsi="新宋体"/>
          <w:sz w:val="29"/>
          <w:szCs w:val="29"/>
        </w:rPr>
        <w:t>（</w:t>
      </w:r>
      <w:r w:rsidR="00EC2566">
        <w:rPr>
          <w:rFonts w:ascii="新宋体" w:eastAsia="新宋体" w:hAnsi="新宋体" w:hint="eastAsia"/>
          <w:sz w:val="29"/>
          <w:szCs w:val="29"/>
        </w:rPr>
        <w:t>排名不含执行和院领导</w:t>
      </w:r>
      <w:r w:rsidR="00EC2566">
        <w:rPr>
          <w:rFonts w:ascii="新宋体" w:eastAsia="新宋体" w:hAnsi="新宋体"/>
          <w:sz w:val="29"/>
          <w:szCs w:val="29"/>
        </w:rPr>
        <w:t>）</w:t>
      </w:r>
      <w:r w:rsidR="00AF4E5E">
        <w:rPr>
          <w:rFonts w:ascii="新宋体" w:eastAsia="新宋体" w:hAnsi="新宋体" w:hint="eastAsia"/>
          <w:sz w:val="29"/>
          <w:szCs w:val="29"/>
        </w:rPr>
        <w:t xml:space="preserve">                     </w:t>
      </w:r>
      <w:r w:rsidR="009E21FD">
        <w:rPr>
          <w:rFonts w:ascii="新宋体" w:eastAsia="新宋体" w:hAnsi="新宋体" w:hint="eastAsia"/>
          <w:sz w:val="29"/>
          <w:szCs w:val="29"/>
        </w:rPr>
        <w:t xml:space="preserve">   </w:t>
      </w:r>
      <w:r w:rsidR="00BA2982">
        <w:rPr>
          <w:rFonts w:ascii="新宋体" w:eastAsia="新宋体" w:hAnsi="新宋体" w:hint="eastAsia"/>
          <w:sz w:val="29"/>
          <w:szCs w:val="29"/>
        </w:rPr>
        <w:t xml:space="preserve">                                           </w:t>
      </w:r>
      <w:r w:rsidR="00610866">
        <w:rPr>
          <w:rFonts w:ascii="新宋体" w:eastAsia="新宋体" w:hAnsi="新宋体" w:hint="eastAsia"/>
          <w:sz w:val="29"/>
          <w:szCs w:val="29"/>
        </w:rPr>
        <w:t xml:space="preserve">                                                                                          </w:t>
      </w:r>
      <w:r w:rsidR="00EC2566">
        <w:rPr>
          <w:rFonts w:ascii="新宋体" w:eastAsia="新宋体" w:hAnsi="新宋体" w:hint="eastAsia"/>
          <w:sz w:val="29"/>
          <w:szCs w:val="29"/>
        </w:rPr>
        <w:t xml:space="preserve">                </w:t>
      </w:r>
    </w:p>
    <w:p w:rsidR="00025DD3" w:rsidRDefault="00025DD3">
      <w:pPr>
        <w:spacing w:line="274" w:lineRule="exact"/>
        <w:rPr>
          <w:rFonts w:ascii="Times New Roman" w:hAnsi="Times New Roman"/>
        </w:rPr>
      </w:pPr>
    </w:p>
    <w:p w:rsidR="00EC2566" w:rsidRDefault="00EC2566">
      <w:pPr>
        <w:spacing w:line="274" w:lineRule="exact"/>
        <w:rPr>
          <w:rFonts w:ascii="Times New Roman" w:hAnsi="Times New Roman"/>
        </w:rPr>
      </w:pPr>
    </w:p>
    <w:p w:rsidR="00025DD3" w:rsidRDefault="00025DD3">
      <w:pPr>
        <w:spacing w:line="274" w:lineRule="exact"/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025DD3" w:rsidRDefault="00B17BCD">
      <w:pPr>
        <w:spacing w:line="274" w:lineRule="exact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20</w:t>
      </w:r>
      <w:r w:rsidR="00C36D04">
        <w:rPr>
          <w:rFonts w:ascii="华文仿宋" w:eastAsia="华文仿宋" w:hAnsi="华文仿宋" w:hint="eastAsia"/>
          <w:b/>
          <w:sz w:val="28"/>
          <w:szCs w:val="28"/>
        </w:rPr>
        <w:t>23</w:t>
      </w:r>
      <w:r>
        <w:rPr>
          <w:rFonts w:ascii="华文仿宋" w:eastAsia="华文仿宋" w:hAnsi="华文仿宋" w:hint="eastAsia"/>
          <w:b/>
          <w:sz w:val="28"/>
          <w:szCs w:val="28"/>
        </w:rPr>
        <w:t>年</w:t>
      </w:r>
      <w:r w:rsidR="00C36D04">
        <w:rPr>
          <w:rFonts w:ascii="华文仿宋" w:eastAsia="华文仿宋" w:hAnsi="华文仿宋" w:hint="eastAsia"/>
          <w:b/>
          <w:sz w:val="28"/>
          <w:szCs w:val="28"/>
        </w:rPr>
        <w:t>1-6</w:t>
      </w:r>
      <w:r>
        <w:rPr>
          <w:rFonts w:ascii="华文仿宋" w:eastAsia="华文仿宋" w:hAnsi="华文仿宋" w:hint="eastAsia"/>
          <w:b/>
          <w:sz w:val="28"/>
          <w:szCs w:val="28"/>
        </w:rPr>
        <w:t>月前郭</w:t>
      </w:r>
      <w:r>
        <w:rPr>
          <w:rFonts w:ascii="华文仿宋" w:eastAsia="华文仿宋" w:hAnsi="华文仿宋"/>
          <w:b/>
          <w:sz w:val="28"/>
          <w:szCs w:val="28"/>
        </w:rPr>
        <w:t>法院</w:t>
      </w:r>
      <w:r>
        <w:rPr>
          <w:rFonts w:ascii="华文仿宋" w:eastAsia="华文仿宋" w:hAnsi="华文仿宋" w:hint="eastAsia"/>
          <w:b/>
          <w:sz w:val="28"/>
          <w:szCs w:val="28"/>
        </w:rPr>
        <w:t>各审判</w:t>
      </w:r>
      <w:r>
        <w:rPr>
          <w:rFonts w:ascii="华文仿宋" w:eastAsia="华文仿宋" w:hAnsi="华文仿宋"/>
          <w:b/>
          <w:sz w:val="28"/>
          <w:szCs w:val="28"/>
        </w:rPr>
        <w:t>业务部门人均受案、结案图</w:t>
      </w:r>
    </w:p>
    <w:p w:rsidR="00025DD3" w:rsidRDefault="00025DD3">
      <w:pPr>
        <w:spacing w:line="274" w:lineRule="exact"/>
        <w:rPr>
          <w:rFonts w:ascii="华文仿宋" w:eastAsia="华文仿宋" w:hAnsi="华文仿宋"/>
          <w:b/>
          <w:sz w:val="28"/>
          <w:szCs w:val="28"/>
        </w:rPr>
      </w:pPr>
    </w:p>
    <w:p w:rsidR="00025DD3" w:rsidRDefault="00AF4E5E">
      <w:pPr>
        <w:pStyle w:val="3"/>
      </w:pPr>
      <w:r w:rsidRPr="00AF4E5E">
        <w:rPr>
          <w:noProof/>
        </w:rPr>
        <w:drawing>
          <wp:inline distT="0" distB="0" distL="0" distR="0">
            <wp:extent cx="5286374" cy="3705226"/>
            <wp:effectExtent l="57150" t="19050" r="28576" b="9524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5DD3" w:rsidRDefault="00025DD3">
      <w:pPr>
        <w:spacing w:line="274" w:lineRule="exact"/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025DD3" w:rsidRDefault="00025DD3">
      <w:pPr>
        <w:spacing w:line="274" w:lineRule="exact"/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025DD3" w:rsidRDefault="00025DD3">
      <w:pPr>
        <w:spacing w:line="541" w:lineRule="exact"/>
        <w:ind w:right="344" w:firstLineChars="250" w:firstLine="800"/>
        <w:jc w:val="both"/>
        <w:rPr>
          <w:rFonts w:ascii="楷体" w:eastAsia="楷体" w:hAnsi="楷体"/>
          <w:color w:val="000000" w:themeColor="text1"/>
          <w:sz w:val="32"/>
        </w:rPr>
      </w:pPr>
    </w:p>
    <w:p w:rsidR="00025DD3" w:rsidRDefault="00B17BCD">
      <w:pPr>
        <w:spacing w:line="360" w:lineRule="auto"/>
        <w:rPr>
          <w:rFonts w:ascii="楷体" w:eastAsia="楷体" w:hAnsi="楷体"/>
          <w:color w:val="000000" w:themeColor="text1"/>
          <w:sz w:val="36"/>
          <w:szCs w:val="36"/>
        </w:rPr>
      </w:pPr>
      <w:bookmarkStart w:id="3" w:name="page12"/>
      <w:bookmarkEnd w:id="3"/>
      <w:r>
        <w:rPr>
          <w:rFonts w:ascii="楷体" w:eastAsia="楷体" w:hAnsi="楷体"/>
          <w:color w:val="000000" w:themeColor="text1"/>
          <w:sz w:val="36"/>
          <w:szCs w:val="36"/>
        </w:rPr>
        <w:lastRenderedPageBreak/>
        <w:t>（三）</w:t>
      </w:r>
      <w:r>
        <w:rPr>
          <w:rFonts w:ascii="楷体" w:eastAsia="楷体" w:hAnsi="楷体" w:hint="eastAsia"/>
          <w:color w:val="000000" w:themeColor="text1"/>
          <w:sz w:val="36"/>
          <w:szCs w:val="36"/>
        </w:rPr>
        <w:t>审判质量效果情</w:t>
      </w:r>
      <w:bookmarkStart w:id="4" w:name="_GoBack"/>
      <w:bookmarkEnd w:id="4"/>
      <w:r>
        <w:rPr>
          <w:rFonts w:ascii="楷体" w:eastAsia="楷体" w:hAnsi="楷体" w:hint="eastAsia"/>
          <w:color w:val="000000" w:themeColor="text1"/>
          <w:sz w:val="36"/>
          <w:szCs w:val="36"/>
        </w:rPr>
        <w:t>况</w:t>
      </w:r>
    </w:p>
    <w:p w:rsidR="00025DD3" w:rsidRDefault="00B17BCD">
      <w:pPr>
        <w:spacing w:line="360" w:lineRule="auto"/>
        <w:ind w:firstLineChars="246" w:firstLine="713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截至</w:t>
      </w:r>
      <w:r w:rsidR="008C76F2">
        <w:rPr>
          <w:rFonts w:ascii="新宋体" w:eastAsia="新宋体" w:hAnsi="新宋体" w:hint="eastAsia"/>
          <w:color w:val="000000" w:themeColor="text1"/>
          <w:sz w:val="29"/>
        </w:rPr>
        <w:t>6</w:t>
      </w:r>
      <w:r>
        <w:rPr>
          <w:rFonts w:ascii="新宋体" w:eastAsia="新宋体" w:hAnsi="新宋体" w:hint="eastAsia"/>
          <w:color w:val="000000" w:themeColor="text1"/>
          <w:sz w:val="29"/>
        </w:rPr>
        <w:t>月</w:t>
      </w:r>
      <w:r w:rsidR="00975F5B">
        <w:rPr>
          <w:rFonts w:ascii="新宋体" w:eastAsia="新宋体" w:hAnsi="新宋体" w:hint="eastAsia"/>
          <w:color w:val="000000" w:themeColor="text1"/>
          <w:sz w:val="29"/>
        </w:rPr>
        <w:t>3</w:t>
      </w:r>
      <w:r w:rsidR="008C76F2">
        <w:rPr>
          <w:rFonts w:ascii="新宋体" w:eastAsia="新宋体" w:hAnsi="新宋体" w:hint="eastAsia"/>
          <w:color w:val="000000" w:themeColor="text1"/>
          <w:sz w:val="29"/>
        </w:rPr>
        <w:t>0</w:t>
      </w:r>
      <w:r>
        <w:rPr>
          <w:rFonts w:ascii="新宋体" w:eastAsia="新宋体" w:hAnsi="新宋体" w:hint="eastAsia"/>
          <w:color w:val="000000" w:themeColor="text1"/>
          <w:sz w:val="29"/>
        </w:rPr>
        <w:t>日，我院一审结案</w:t>
      </w:r>
      <w:r w:rsidR="00EC2566">
        <w:rPr>
          <w:rFonts w:ascii="新宋体" w:eastAsia="新宋体" w:hAnsi="新宋体" w:hint="eastAsia"/>
          <w:color w:val="000000" w:themeColor="text1"/>
          <w:sz w:val="29"/>
        </w:rPr>
        <w:t>3</w:t>
      </w:r>
      <w:r w:rsidR="00D63CE4">
        <w:rPr>
          <w:rFonts w:ascii="新宋体" w:eastAsia="新宋体" w:hAnsi="新宋体" w:hint="eastAsia"/>
          <w:color w:val="000000" w:themeColor="text1"/>
          <w:sz w:val="29"/>
        </w:rPr>
        <w:t>827</w:t>
      </w:r>
      <w:r>
        <w:rPr>
          <w:rFonts w:ascii="新宋体" w:eastAsia="新宋体" w:hAnsi="新宋体" w:hint="eastAsia"/>
          <w:color w:val="000000" w:themeColor="text1"/>
          <w:sz w:val="29"/>
        </w:rPr>
        <w:t>件，</w:t>
      </w:r>
      <w:r w:rsidRPr="00EA536A">
        <w:rPr>
          <w:rFonts w:ascii="新宋体" w:eastAsia="新宋体" w:hAnsi="新宋体" w:hint="eastAsia"/>
          <w:sz w:val="29"/>
        </w:rPr>
        <w:t>上诉</w:t>
      </w:r>
      <w:r w:rsidR="008C76F2">
        <w:rPr>
          <w:rFonts w:ascii="新宋体" w:eastAsia="新宋体" w:hAnsi="新宋体" w:hint="eastAsia"/>
          <w:sz w:val="29"/>
        </w:rPr>
        <w:t>258</w:t>
      </w:r>
      <w:r w:rsidRPr="00EA536A">
        <w:rPr>
          <w:rFonts w:ascii="新宋体" w:eastAsia="新宋体" w:hAnsi="新宋体" w:hint="eastAsia"/>
          <w:sz w:val="29"/>
        </w:rPr>
        <w:t>件，</w:t>
      </w:r>
      <w:r>
        <w:rPr>
          <w:rFonts w:ascii="新宋体" w:eastAsia="新宋体" w:hAnsi="新宋体" w:hint="eastAsia"/>
          <w:color w:val="000000" w:themeColor="text1"/>
          <w:sz w:val="29"/>
        </w:rPr>
        <w:t>服判息诉率为</w:t>
      </w:r>
      <w:r w:rsidR="0083501F">
        <w:rPr>
          <w:rFonts w:ascii="新宋体" w:eastAsia="新宋体" w:hAnsi="新宋体" w:hint="eastAsia"/>
          <w:color w:val="000000" w:themeColor="text1"/>
          <w:sz w:val="29"/>
        </w:rPr>
        <w:t>93.39</w:t>
      </w:r>
      <w:r>
        <w:rPr>
          <w:rFonts w:ascii="新宋体" w:eastAsia="新宋体" w:hAnsi="新宋体" w:hint="eastAsia"/>
          <w:sz w:val="29"/>
        </w:rPr>
        <w:t>%；</w:t>
      </w:r>
      <w:r w:rsidRPr="002D7D87">
        <w:rPr>
          <w:rFonts w:ascii="新宋体" w:eastAsia="新宋体" w:hAnsi="新宋体" w:hint="eastAsia"/>
          <w:sz w:val="29"/>
        </w:rPr>
        <w:t>改判</w:t>
      </w:r>
      <w:r w:rsidR="00C11BAE">
        <w:rPr>
          <w:rFonts w:ascii="新宋体" w:eastAsia="新宋体" w:hAnsi="新宋体" w:hint="eastAsia"/>
          <w:sz w:val="29"/>
        </w:rPr>
        <w:t>7</w:t>
      </w:r>
      <w:r w:rsidRPr="002D7D87">
        <w:rPr>
          <w:rFonts w:ascii="新宋体" w:eastAsia="新宋体" w:hAnsi="新宋体" w:hint="eastAsia"/>
          <w:sz w:val="29"/>
        </w:rPr>
        <w:t>件，发回重审</w:t>
      </w:r>
      <w:r w:rsidR="00C11BAE">
        <w:rPr>
          <w:rFonts w:ascii="新宋体" w:eastAsia="新宋体" w:hAnsi="新宋体" w:hint="eastAsia"/>
          <w:sz w:val="29"/>
        </w:rPr>
        <w:t>0</w:t>
      </w:r>
      <w:r w:rsidRPr="002D7D87">
        <w:rPr>
          <w:rFonts w:ascii="新宋体" w:eastAsia="新宋体" w:hAnsi="新宋体" w:hint="eastAsia"/>
          <w:sz w:val="29"/>
        </w:rPr>
        <w:t>件，一审案件上诉被发回重审、改判率为</w:t>
      </w:r>
      <w:r w:rsidR="00C11BAE">
        <w:rPr>
          <w:rFonts w:ascii="新宋体" w:eastAsia="新宋体" w:hAnsi="新宋体" w:hint="eastAsia"/>
          <w:sz w:val="29"/>
        </w:rPr>
        <w:t>1</w:t>
      </w:r>
      <w:r w:rsidR="0083501F">
        <w:rPr>
          <w:rFonts w:ascii="新宋体" w:eastAsia="新宋体" w:hAnsi="新宋体" w:hint="eastAsia"/>
          <w:sz w:val="29"/>
        </w:rPr>
        <w:t>.80</w:t>
      </w:r>
      <w:r w:rsidRPr="002D7D87">
        <w:rPr>
          <w:rFonts w:ascii="新宋体" w:eastAsia="新宋体" w:hAnsi="新宋体" w:hint="eastAsia"/>
          <w:sz w:val="29"/>
        </w:rPr>
        <w:t>%</w:t>
      </w:r>
      <w:r w:rsidRPr="00614750">
        <w:rPr>
          <w:rFonts w:ascii="新宋体" w:eastAsia="新宋体" w:hAnsi="新宋体" w:hint="eastAsia"/>
          <w:sz w:val="29"/>
        </w:rPr>
        <w:t>；一审生效案件申请再审申诉率为</w:t>
      </w:r>
      <w:r w:rsidR="00C11BAE">
        <w:rPr>
          <w:rFonts w:ascii="新宋体" w:eastAsia="新宋体" w:hAnsi="新宋体" w:hint="eastAsia"/>
          <w:sz w:val="29"/>
        </w:rPr>
        <w:t>0.46</w:t>
      </w:r>
      <w:r w:rsidRPr="00614750">
        <w:rPr>
          <w:rFonts w:ascii="新宋体" w:eastAsia="新宋体" w:hAnsi="新宋体" w:hint="eastAsia"/>
          <w:sz w:val="29"/>
        </w:rPr>
        <w:t>%；在已结案件中，其中以调解撤诉方式结案的案件为</w:t>
      </w:r>
      <w:r w:rsidR="008C76F2">
        <w:rPr>
          <w:rFonts w:ascii="新宋体" w:eastAsia="新宋体" w:hAnsi="新宋体" w:hint="eastAsia"/>
          <w:sz w:val="29"/>
        </w:rPr>
        <w:t>1</w:t>
      </w:r>
      <w:r w:rsidR="0083501F">
        <w:rPr>
          <w:rFonts w:ascii="新宋体" w:eastAsia="新宋体" w:hAnsi="新宋体" w:hint="eastAsia"/>
          <w:sz w:val="29"/>
        </w:rPr>
        <w:t>873</w:t>
      </w:r>
      <w:r w:rsidRPr="00614750">
        <w:rPr>
          <w:rFonts w:ascii="新宋体" w:eastAsia="新宋体" w:hAnsi="新宋体" w:hint="eastAsia"/>
          <w:sz w:val="29"/>
        </w:rPr>
        <w:t>件</w:t>
      </w:r>
      <w:r w:rsidR="000B434E" w:rsidRPr="00614750">
        <w:rPr>
          <w:rFonts w:ascii="新宋体" w:eastAsia="新宋体" w:hAnsi="新宋体" w:hint="eastAsia"/>
          <w:sz w:val="29"/>
        </w:rPr>
        <w:t>,</w:t>
      </w:r>
      <w:r w:rsidRPr="00614750">
        <w:rPr>
          <w:rFonts w:ascii="新宋体" w:eastAsia="新宋体" w:hAnsi="新宋体" w:hint="eastAsia"/>
          <w:sz w:val="29"/>
        </w:rPr>
        <w:t>调撤率为</w:t>
      </w:r>
      <w:r w:rsidR="008C76F2">
        <w:rPr>
          <w:rFonts w:ascii="新宋体" w:eastAsia="新宋体" w:hAnsi="新宋体" w:hint="eastAsia"/>
          <w:sz w:val="29"/>
        </w:rPr>
        <w:t>4</w:t>
      </w:r>
      <w:r w:rsidR="0083501F">
        <w:rPr>
          <w:rFonts w:ascii="新宋体" w:eastAsia="新宋体" w:hAnsi="新宋体" w:hint="eastAsia"/>
          <w:sz w:val="29"/>
        </w:rPr>
        <w:t>7.27</w:t>
      </w:r>
      <w:r w:rsidRPr="00614750">
        <w:rPr>
          <w:rFonts w:ascii="新宋体" w:eastAsia="新宋体" w:hAnsi="新宋体" w:hint="eastAsia"/>
          <w:sz w:val="29"/>
        </w:rPr>
        <w:t>%。</w:t>
      </w:r>
    </w:p>
    <w:p w:rsidR="00025DD3" w:rsidRDefault="00025DD3">
      <w:pPr>
        <w:spacing w:line="360" w:lineRule="auto"/>
        <w:ind w:firstLineChars="246" w:firstLine="713"/>
        <w:jc w:val="both"/>
        <w:rPr>
          <w:rFonts w:ascii="新宋体" w:eastAsia="新宋体" w:hAnsi="新宋体"/>
          <w:sz w:val="29"/>
        </w:rPr>
      </w:pPr>
    </w:p>
    <w:p w:rsidR="00025DD3" w:rsidRDefault="00025DD3">
      <w:pPr>
        <w:spacing w:line="360" w:lineRule="auto"/>
        <w:ind w:firstLineChars="200" w:firstLine="720"/>
        <w:rPr>
          <w:rFonts w:ascii="楷体" w:eastAsia="楷体" w:hAnsi="楷体"/>
          <w:color w:val="000000" w:themeColor="text1"/>
          <w:sz w:val="36"/>
          <w:szCs w:val="36"/>
        </w:rPr>
      </w:pPr>
    </w:p>
    <w:p w:rsidR="00025DD3" w:rsidRDefault="00B17BCD">
      <w:pPr>
        <w:spacing w:line="360" w:lineRule="auto"/>
        <w:ind w:firstLineChars="200" w:firstLine="720"/>
        <w:rPr>
          <w:rFonts w:ascii="楷体" w:eastAsia="楷体" w:hAnsi="楷体"/>
          <w:color w:val="000000" w:themeColor="text1"/>
          <w:sz w:val="36"/>
          <w:szCs w:val="36"/>
        </w:rPr>
      </w:pPr>
      <w:r>
        <w:rPr>
          <w:rFonts w:ascii="楷体" w:eastAsia="楷体" w:hAnsi="楷体" w:hint="eastAsia"/>
          <w:color w:val="000000" w:themeColor="text1"/>
          <w:sz w:val="36"/>
          <w:szCs w:val="36"/>
        </w:rPr>
        <w:t>（四）司法公开工作情况</w:t>
      </w:r>
    </w:p>
    <w:p w:rsidR="00025DD3" w:rsidRDefault="00B17BCD">
      <w:pPr>
        <w:spacing w:line="360" w:lineRule="auto"/>
        <w:ind w:firstLineChars="250" w:firstLine="725"/>
        <w:rPr>
          <w:rFonts w:ascii="楷体" w:eastAsia="楷体" w:hAnsi="楷体"/>
          <w:color w:val="000000" w:themeColor="text1"/>
          <w:sz w:val="36"/>
          <w:szCs w:val="36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我</w:t>
      </w:r>
      <w:r>
        <w:rPr>
          <w:rFonts w:ascii="新宋体" w:eastAsia="新宋体" w:hAnsi="新宋体"/>
          <w:color w:val="000000" w:themeColor="text1"/>
          <w:sz w:val="29"/>
        </w:rPr>
        <w:t>院司法公开各项工作常态化进行。</w:t>
      </w:r>
    </w:p>
    <w:p w:rsidR="0083501F" w:rsidRDefault="0083501F" w:rsidP="0083501F">
      <w:pPr>
        <w:spacing w:line="360" w:lineRule="auto"/>
        <w:ind w:firstLineChars="246" w:firstLine="787"/>
        <w:rPr>
          <w:rFonts w:ascii="楷体" w:eastAsia="楷体" w:hAnsi="楷体" w:hint="eastAsia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1、裁判文书公开情况</w:t>
      </w:r>
    </w:p>
    <w:p w:rsidR="00025DD3" w:rsidRDefault="0083501F" w:rsidP="00F11105">
      <w:pPr>
        <w:spacing w:line="360" w:lineRule="auto"/>
        <w:ind w:firstLineChars="246" w:firstLine="713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我院结案总数为3966件，文书上网</w:t>
      </w:r>
      <w:r w:rsidR="00F11105">
        <w:rPr>
          <w:rFonts w:ascii="新宋体" w:eastAsia="新宋体" w:hAnsi="新宋体" w:hint="eastAsia"/>
          <w:color w:val="000000" w:themeColor="text1"/>
          <w:sz w:val="29"/>
        </w:rPr>
        <w:t>2728件，上网率68.78%，高于全市裁判文书上网率（67.85%）0.93个百分点，全市第4位，亟需加强。</w:t>
      </w:r>
    </w:p>
    <w:p w:rsidR="00025DD3" w:rsidRDefault="00C11BAE">
      <w:pPr>
        <w:spacing w:line="360" w:lineRule="auto"/>
        <w:ind w:firstLineChars="246" w:firstLine="787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2</w:t>
      </w:r>
      <w:r w:rsidR="00B17BCD">
        <w:rPr>
          <w:rFonts w:ascii="楷体" w:eastAsia="楷体" w:hAnsi="楷体" w:hint="eastAsia"/>
          <w:color w:val="000000" w:themeColor="text1"/>
          <w:sz w:val="32"/>
          <w:szCs w:val="32"/>
        </w:rPr>
        <w:t>、审判流程信息公开情况</w:t>
      </w:r>
    </w:p>
    <w:p w:rsidR="00025DD3" w:rsidRDefault="00B17BCD" w:rsidP="000C7BC0">
      <w:pPr>
        <w:spacing w:line="541" w:lineRule="exact"/>
        <w:ind w:right="344" w:firstLineChars="250" w:firstLine="725"/>
        <w:jc w:val="both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我</w:t>
      </w:r>
      <w:r>
        <w:rPr>
          <w:rFonts w:ascii="新宋体" w:eastAsia="新宋体" w:hAnsi="新宋体"/>
          <w:color w:val="000000" w:themeColor="text1"/>
          <w:sz w:val="29"/>
        </w:rPr>
        <w:t>院公开审判流程</w:t>
      </w:r>
      <w:r w:rsidRPr="000D36AB">
        <w:rPr>
          <w:rFonts w:ascii="新宋体" w:eastAsia="新宋体" w:hAnsi="新宋体"/>
          <w:color w:val="000000" w:themeColor="text1"/>
          <w:sz w:val="29"/>
        </w:rPr>
        <w:t>信息</w:t>
      </w:r>
      <w:r w:rsidR="0083501F">
        <w:rPr>
          <w:rFonts w:ascii="新宋体" w:eastAsia="新宋体" w:hAnsi="新宋体" w:hint="eastAsia"/>
          <w:color w:val="000000" w:themeColor="text1"/>
          <w:sz w:val="29"/>
        </w:rPr>
        <w:t>3717</w:t>
      </w:r>
      <w:r w:rsidRPr="000D36AB">
        <w:rPr>
          <w:rFonts w:ascii="新宋体" w:eastAsia="新宋体" w:hAnsi="新宋体"/>
          <w:color w:val="000000" w:themeColor="text1"/>
          <w:sz w:val="29"/>
        </w:rPr>
        <w:t>件</w:t>
      </w:r>
      <w:r w:rsidRPr="000D36AB">
        <w:rPr>
          <w:rFonts w:ascii="新宋体" w:eastAsia="新宋体" w:hAnsi="新宋体" w:hint="eastAsia"/>
          <w:color w:val="000000" w:themeColor="text1"/>
          <w:sz w:val="29"/>
        </w:rPr>
        <w:t>，有效公开</w:t>
      </w:r>
      <w:r w:rsidR="0083501F">
        <w:rPr>
          <w:rFonts w:ascii="新宋体" w:eastAsia="新宋体" w:hAnsi="新宋体" w:hint="eastAsia"/>
          <w:color w:val="000000" w:themeColor="text1"/>
          <w:sz w:val="29"/>
        </w:rPr>
        <w:t>3696</w:t>
      </w:r>
      <w:r w:rsidRPr="000D36AB">
        <w:rPr>
          <w:rFonts w:ascii="新宋体" w:eastAsia="新宋体" w:hAnsi="新宋体" w:hint="eastAsia"/>
          <w:color w:val="000000" w:themeColor="text1"/>
          <w:sz w:val="29"/>
        </w:rPr>
        <w:t>件，</w:t>
      </w:r>
      <w:r w:rsidRPr="000D36AB">
        <w:rPr>
          <w:rFonts w:ascii="新宋体" w:eastAsia="新宋体" w:hAnsi="新宋体"/>
          <w:color w:val="000000" w:themeColor="text1"/>
          <w:sz w:val="29"/>
        </w:rPr>
        <w:t>审判流程信息有效公开率为</w:t>
      </w:r>
      <w:r w:rsidR="0083501F">
        <w:rPr>
          <w:rFonts w:ascii="新宋体" w:eastAsia="新宋体" w:hAnsi="新宋体" w:hint="eastAsia"/>
          <w:color w:val="000000" w:themeColor="text1"/>
          <w:sz w:val="29"/>
        </w:rPr>
        <w:t>99.43</w:t>
      </w:r>
      <w:r w:rsidRPr="000D36AB">
        <w:rPr>
          <w:rFonts w:ascii="新宋体" w:eastAsia="新宋体" w:hAnsi="新宋体"/>
          <w:color w:val="000000" w:themeColor="text1"/>
          <w:sz w:val="29"/>
        </w:rPr>
        <w:t>%，</w:t>
      </w:r>
      <w:r w:rsidRPr="000D36AB">
        <w:rPr>
          <w:rFonts w:ascii="新宋体" w:eastAsia="新宋体" w:hAnsi="新宋体" w:hint="eastAsia"/>
          <w:color w:val="000000" w:themeColor="text1"/>
          <w:sz w:val="29"/>
        </w:rPr>
        <w:t>高于</w:t>
      </w:r>
      <w:r w:rsidR="000C7BC0">
        <w:rPr>
          <w:rFonts w:ascii="新宋体" w:eastAsia="新宋体" w:hAnsi="新宋体"/>
          <w:color w:val="000000" w:themeColor="text1"/>
          <w:sz w:val="29"/>
        </w:rPr>
        <w:t>全</w:t>
      </w:r>
      <w:r w:rsidR="000C7BC0">
        <w:rPr>
          <w:rFonts w:ascii="新宋体" w:eastAsia="新宋体" w:hAnsi="新宋体" w:hint="eastAsia"/>
          <w:color w:val="000000" w:themeColor="text1"/>
          <w:sz w:val="29"/>
        </w:rPr>
        <w:t>市</w:t>
      </w:r>
      <w:r w:rsidRPr="000D36AB">
        <w:rPr>
          <w:rFonts w:ascii="新宋体" w:eastAsia="新宋体" w:hAnsi="新宋体"/>
          <w:color w:val="000000" w:themeColor="text1"/>
          <w:sz w:val="29"/>
        </w:rPr>
        <w:t>法院审判流程有效公开率（</w:t>
      </w:r>
      <w:r w:rsidR="0083501F">
        <w:rPr>
          <w:rFonts w:ascii="新宋体" w:eastAsia="新宋体" w:hAnsi="新宋体" w:hint="eastAsia"/>
          <w:color w:val="000000" w:themeColor="text1"/>
          <w:sz w:val="29"/>
        </w:rPr>
        <w:t>99.21</w:t>
      </w:r>
      <w:r w:rsidRPr="000D36AB">
        <w:rPr>
          <w:rFonts w:ascii="新宋体" w:eastAsia="新宋体" w:hAnsi="新宋体"/>
          <w:color w:val="000000" w:themeColor="text1"/>
          <w:sz w:val="29"/>
        </w:rPr>
        <w:t>%）</w:t>
      </w:r>
      <w:r w:rsidR="0083501F">
        <w:rPr>
          <w:rFonts w:ascii="新宋体" w:eastAsia="新宋体" w:hAnsi="新宋体" w:hint="eastAsia"/>
          <w:color w:val="000000" w:themeColor="text1"/>
          <w:sz w:val="29"/>
        </w:rPr>
        <w:t>0.22</w:t>
      </w:r>
      <w:r w:rsidRPr="000D36AB">
        <w:rPr>
          <w:rFonts w:ascii="新宋体" w:eastAsia="新宋体" w:hAnsi="新宋体"/>
          <w:color w:val="000000" w:themeColor="text1"/>
          <w:sz w:val="29"/>
        </w:rPr>
        <w:t>个百分点</w:t>
      </w:r>
      <w:r w:rsidRPr="000D36AB">
        <w:rPr>
          <w:rFonts w:ascii="新宋体" w:eastAsia="新宋体" w:hAnsi="新宋体" w:hint="eastAsia"/>
          <w:color w:val="000000" w:themeColor="text1"/>
          <w:sz w:val="29"/>
        </w:rPr>
        <w:t>。</w:t>
      </w:r>
    </w:p>
    <w:p w:rsidR="00A118CC" w:rsidRPr="00A118CC" w:rsidRDefault="00A118CC">
      <w:pPr>
        <w:spacing w:line="360" w:lineRule="auto"/>
        <w:ind w:right="344"/>
        <w:jc w:val="both"/>
        <w:rPr>
          <w:rFonts w:ascii="新宋体" w:eastAsia="新宋体" w:hAnsi="新宋体"/>
          <w:color w:val="000000" w:themeColor="text1"/>
          <w:sz w:val="29"/>
        </w:rPr>
      </w:pPr>
    </w:p>
    <w:p w:rsidR="00025DD3" w:rsidRDefault="00B17BCD">
      <w:pPr>
        <w:spacing w:line="360" w:lineRule="auto"/>
        <w:ind w:left="360" w:right="344" w:firstLine="630"/>
        <w:jc w:val="both"/>
        <w:rPr>
          <w:rFonts w:ascii="黑体" w:eastAsia="黑体" w:hAnsi="黑体"/>
          <w:color w:val="000000" w:themeColor="text1"/>
          <w:sz w:val="32"/>
        </w:rPr>
      </w:pPr>
      <w:r>
        <w:rPr>
          <w:rFonts w:ascii="黑体" w:eastAsia="黑体" w:hAnsi="黑体" w:hint="eastAsia"/>
          <w:color w:val="000000" w:themeColor="text1"/>
          <w:sz w:val="32"/>
        </w:rPr>
        <w:t>二、审判工作中存在的问题及审判管理工作的建议</w:t>
      </w:r>
    </w:p>
    <w:p w:rsidR="00025DD3" w:rsidRDefault="00025DD3">
      <w:pPr>
        <w:spacing w:line="360" w:lineRule="auto"/>
        <w:ind w:right="344" w:firstLineChars="150" w:firstLine="540"/>
        <w:jc w:val="both"/>
        <w:rPr>
          <w:rFonts w:ascii="楷体" w:eastAsia="楷体" w:hAnsi="楷体"/>
          <w:color w:val="000000" w:themeColor="text1"/>
          <w:sz w:val="36"/>
          <w:szCs w:val="36"/>
        </w:rPr>
      </w:pPr>
    </w:p>
    <w:p w:rsidR="00025DD3" w:rsidRDefault="00B17BCD">
      <w:pPr>
        <w:spacing w:line="360" w:lineRule="auto"/>
        <w:ind w:right="344" w:firstLineChars="150" w:firstLine="540"/>
        <w:jc w:val="both"/>
        <w:rPr>
          <w:rFonts w:ascii="楷体" w:eastAsia="楷体" w:hAnsi="楷体"/>
          <w:color w:val="000000" w:themeColor="text1"/>
          <w:sz w:val="36"/>
          <w:szCs w:val="36"/>
        </w:rPr>
      </w:pPr>
      <w:r>
        <w:rPr>
          <w:rFonts w:ascii="楷体" w:eastAsia="楷体" w:hAnsi="楷体" w:hint="eastAsia"/>
          <w:color w:val="000000" w:themeColor="text1"/>
          <w:sz w:val="36"/>
          <w:szCs w:val="36"/>
        </w:rPr>
        <w:t>（一）存在的问题</w:t>
      </w:r>
    </w:p>
    <w:p w:rsidR="00025DD3" w:rsidRDefault="00B17BCD">
      <w:pPr>
        <w:spacing w:line="541" w:lineRule="exact"/>
        <w:ind w:right="344" w:firstLineChars="250" w:firstLine="725"/>
        <w:jc w:val="both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我院各项指标较同期相比均大幅下降。现就以下几项数据短板问题进行分析：</w:t>
      </w:r>
    </w:p>
    <w:p w:rsidR="00025DD3" w:rsidRDefault="00025DD3">
      <w:pPr>
        <w:spacing w:line="541" w:lineRule="exact"/>
        <w:ind w:right="344" w:firstLineChars="250" w:firstLine="800"/>
        <w:jc w:val="both"/>
        <w:rPr>
          <w:rFonts w:ascii="楷体" w:eastAsia="楷体" w:hAnsi="楷体"/>
          <w:color w:val="000000" w:themeColor="text1"/>
          <w:sz w:val="32"/>
          <w:szCs w:val="32"/>
        </w:rPr>
      </w:pPr>
    </w:p>
    <w:p w:rsidR="00025DD3" w:rsidRDefault="00025DD3">
      <w:pPr>
        <w:spacing w:line="541" w:lineRule="exact"/>
        <w:ind w:right="344" w:firstLineChars="250" w:firstLine="800"/>
        <w:jc w:val="both"/>
        <w:rPr>
          <w:rFonts w:ascii="楷体" w:eastAsia="楷体" w:hAnsi="楷体"/>
          <w:color w:val="000000" w:themeColor="text1"/>
          <w:sz w:val="32"/>
          <w:szCs w:val="32"/>
        </w:rPr>
      </w:pPr>
    </w:p>
    <w:p w:rsidR="00025DD3" w:rsidRDefault="00B17BCD">
      <w:pPr>
        <w:spacing w:line="541" w:lineRule="exact"/>
        <w:ind w:right="344" w:firstLineChars="250" w:firstLine="800"/>
        <w:jc w:val="both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lastRenderedPageBreak/>
        <w:t>1.</w:t>
      </w:r>
      <w:r w:rsidR="00135393">
        <w:rPr>
          <w:rFonts w:ascii="楷体" w:eastAsia="楷体" w:hAnsi="楷体" w:hint="eastAsia"/>
          <w:color w:val="000000" w:themeColor="text1"/>
          <w:sz w:val="32"/>
          <w:szCs w:val="32"/>
        </w:rPr>
        <w:t>调撤率出现走低的趋势。</w:t>
      </w:r>
    </w:p>
    <w:p w:rsidR="00025DD3" w:rsidRDefault="00B17BCD">
      <w:pPr>
        <w:spacing w:line="541" w:lineRule="exact"/>
        <w:ind w:right="344" w:firstLineChars="250" w:firstLine="725"/>
        <w:jc w:val="both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我院</w:t>
      </w:r>
      <w:r w:rsidR="00135393">
        <w:rPr>
          <w:rFonts w:ascii="新宋体" w:eastAsia="新宋体" w:hAnsi="新宋体" w:hint="eastAsia"/>
          <w:color w:val="000000" w:themeColor="text1"/>
          <w:sz w:val="29"/>
        </w:rPr>
        <w:t>调撤率为47.27%</w:t>
      </w:r>
      <w:r>
        <w:rPr>
          <w:rFonts w:ascii="新宋体" w:eastAsia="新宋体" w:hAnsi="新宋体" w:hint="eastAsia"/>
          <w:color w:val="000000" w:themeColor="text1"/>
          <w:sz w:val="29"/>
        </w:rPr>
        <w:t>，</w:t>
      </w:r>
      <w:r w:rsidR="00135393">
        <w:rPr>
          <w:rFonts w:ascii="新宋体" w:eastAsia="新宋体" w:hAnsi="新宋体" w:hint="eastAsia"/>
          <w:color w:val="000000" w:themeColor="text1"/>
          <w:sz w:val="29"/>
        </w:rPr>
        <w:t>调解撤诉结案1873件</w:t>
      </w:r>
      <w:r>
        <w:rPr>
          <w:rFonts w:ascii="新宋体" w:eastAsia="新宋体" w:hAnsi="新宋体" w:hint="eastAsia"/>
          <w:color w:val="000000" w:themeColor="text1"/>
          <w:sz w:val="29"/>
        </w:rPr>
        <w:t>，较去年同期相比下降。</w:t>
      </w:r>
      <w:r w:rsidR="00135393">
        <w:rPr>
          <w:rFonts w:ascii="新宋体" w:eastAsia="新宋体" w:hAnsi="新宋体" w:hint="eastAsia"/>
          <w:color w:val="000000" w:themeColor="text1"/>
          <w:sz w:val="29"/>
        </w:rPr>
        <w:t>为此我院会利用多</w:t>
      </w:r>
      <w:r w:rsidR="006110F1">
        <w:rPr>
          <w:rFonts w:ascii="新宋体" w:eastAsia="新宋体" w:hAnsi="新宋体" w:hint="eastAsia"/>
          <w:color w:val="000000" w:themeColor="text1"/>
          <w:sz w:val="29"/>
        </w:rPr>
        <w:t>种</w:t>
      </w:r>
      <w:r w:rsidR="00135393">
        <w:rPr>
          <w:rFonts w:ascii="新宋体" w:eastAsia="新宋体" w:hAnsi="新宋体" w:hint="eastAsia"/>
          <w:color w:val="000000" w:themeColor="text1"/>
          <w:sz w:val="29"/>
        </w:rPr>
        <w:t>方式</w:t>
      </w:r>
      <w:r w:rsidR="006110F1">
        <w:rPr>
          <w:rFonts w:ascii="新宋体" w:eastAsia="新宋体" w:hAnsi="新宋体" w:hint="eastAsia"/>
          <w:color w:val="000000" w:themeColor="text1"/>
          <w:sz w:val="29"/>
        </w:rPr>
        <w:t>对可调解的案件</w:t>
      </w:r>
      <w:r w:rsidR="00135393">
        <w:rPr>
          <w:rFonts w:ascii="新宋体" w:eastAsia="新宋体" w:hAnsi="新宋体" w:hint="eastAsia"/>
          <w:color w:val="000000" w:themeColor="text1"/>
          <w:sz w:val="29"/>
        </w:rPr>
        <w:t>进行线上、线下调解，提高案件调撤率。</w:t>
      </w:r>
    </w:p>
    <w:p w:rsidR="00025DD3" w:rsidRDefault="00025DD3">
      <w:pPr>
        <w:spacing w:line="541" w:lineRule="exact"/>
        <w:ind w:right="344" w:firstLineChars="250" w:firstLine="800"/>
        <w:jc w:val="both"/>
        <w:rPr>
          <w:rFonts w:ascii="楷体" w:eastAsia="楷体" w:hAnsi="楷体"/>
          <w:color w:val="000000" w:themeColor="text1"/>
          <w:sz w:val="32"/>
          <w:szCs w:val="32"/>
        </w:rPr>
      </w:pPr>
    </w:p>
    <w:p w:rsidR="00025DD3" w:rsidRDefault="00131F3A">
      <w:pPr>
        <w:spacing w:line="541" w:lineRule="exact"/>
        <w:ind w:right="344" w:firstLineChars="250" w:firstLine="800"/>
        <w:jc w:val="both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2</w:t>
      </w:r>
      <w:r w:rsidR="00B17BCD">
        <w:rPr>
          <w:rFonts w:ascii="楷体" w:eastAsia="楷体" w:hAnsi="楷体" w:hint="eastAsia"/>
          <w:color w:val="000000" w:themeColor="text1"/>
          <w:sz w:val="32"/>
          <w:szCs w:val="32"/>
        </w:rPr>
        <w:t>.上诉周转期过长。</w:t>
      </w:r>
    </w:p>
    <w:p w:rsidR="00025DD3" w:rsidRDefault="00B17BCD">
      <w:pPr>
        <w:spacing w:line="541" w:lineRule="exact"/>
        <w:ind w:right="344" w:firstLineChars="250" w:firstLine="725"/>
        <w:jc w:val="both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目前，我院存在装订卷宗、转送案卷时间过长的问题，此外，个别承办人存在重实体、轻程序的意识导致法律文书送达不及时，也有部分人员责任意识不强、沟通能力差，从而导致上诉周期拖延。针对此类问题，首先，要增强办案人员的责任意识；其次，加大对送案庭室的内部管控，把责任落实到人，明确送案时间，避免转送周期过长等问题出现。</w:t>
      </w:r>
    </w:p>
    <w:p w:rsidR="00025DD3" w:rsidRDefault="00025DD3">
      <w:pPr>
        <w:spacing w:line="541" w:lineRule="exact"/>
        <w:ind w:right="344" w:firstLineChars="250" w:firstLine="725"/>
        <w:jc w:val="both"/>
        <w:rPr>
          <w:rFonts w:ascii="新宋体" w:eastAsia="新宋体" w:hAnsi="新宋体"/>
          <w:color w:val="000000" w:themeColor="text1"/>
          <w:sz w:val="29"/>
        </w:rPr>
      </w:pPr>
    </w:p>
    <w:p w:rsidR="00025DD3" w:rsidRDefault="00B17BCD">
      <w:pPr>
        <w:spacing w:line="360" w:lineRule="auto"/>
        <w:ind w:left="360" w:right="344" w:firstLine="630"/>
        <w:jc w:val="both"/>
        <w:rPr>
          <w:rFonts w:ascii="楷体" w:eastAsia="楷体" w:hAnsi="楷体"/>
          <w:color w:val="000000" w:themeColor="text1"/>
          <w:sz w:val="36"/>
          <w:szCs w:val="36"/>
        </w:rPr>
      </w:pPr>
      <w:r>
        <w:rPr>
          <w:rFonts w:ascii="楷体" w:eastAsia="楷体" w:hAnsi="楷体" w:hint="eastAsia"/>
          <w:color w:val="000000" w:themeColor="text1"/>
          <w:sz w:val="36"/>
          <w:szCs w:val="36"/>
        </w:rPr>
        <w:t>（二）审判管理建议</w:t>
      </w:r>
    </w:p>
    <w:p w:rsidR="00025DD3" w:rsidRDefault="00B17BCD">
      <w:pPr>
        <w:spacing w:line="360" w:lineRule="auto"/>
        <w:ind w:left="360" w:right="344" w:firstLine="630"/>
        <w:jc w:val="both"/>
        <w:rPr>
          <w:rFonts w:ascii="新宋体" w:eastAsia="新宋体" w:hAnsi="新宋体"/>
          <w:color w:val="000000" w:themeColor="text1"/>
          <w:sz w:val="29"/>
        </w:rPr>
      </w:pPr>
      <w:bookmarkStart w:id="5" w:name="page16"/>
      <w:bookmarkEnd w:id="5"/>
      <w:r>
        <w:rPr>
          <w:rFonts w:ascii="新宋体" w:eastAsia="新宋体" w:hAnsi="新宋体" w:hint="eastAsia"/>
          <w:color w:val="000000" w:themeColor="text1"/>
          <w:sz w:val="29"/>
        </w:rPr>
        <w:t>以审判管理和绩效考核为抓手，统筹处理好抓新案与清积案的关系，统筹处理好审判质量、效率、效果的关系，把执法办案水平提升到一个更高的层次。在继续发扬优势的基础上，着眼于突出问题，着眼于薄弱环节，着眼于均衡结案，促进审判工作的整体推进。</w:t>
      </w:r>
    </w:p>
    <w:p w:rsidR="00025DD3" w:rsidRDefault="00025DD3">
      <w:pPr>
        <w:spacing w:line="360" w:lineRule="auto"/>
        <w:ind w:left="360" w:right="344" w:firstLine="630"/>
        <w:jc w:val="both"/>
        <w:rPr>
          <w:rFonts w:ascii="楷体" w:eastAsia="楷体" w:hAnsi="楷体"/>
          <w:color w:val="000000" w:themeColor="text1"/>
          <w:sz w:val="32"/>
          <w:szCs w:val="32"/>
        </w:rPr>
      </w:pPr>
    </w:p>
    <w:p w:rsidR="00025DD3" w:rsidRDefault="00B17BCD">
      <w:pPr>
        <w:spacing w:line="360" w:lineRule="auto"/>
        <w:ind w:left="360" w:right="344" w:firstLine="630"/>
        <w:jc w:val="both"/>
        <w:rPr>
          <w:rFonts w:ascii="新宋体" w:eastAsia="新宋体" w:hAnsi="新宋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1.进一步抓好审判质量。</w:t>
      </w:r>
    </w:p>
    <w:p w:rsidR="00025DD3" w:rsidRDefault="00B17BCD">
      <w:pPr>
        <w:spacing w:line="360" w:lineRule="auto"/>
        <w:ind w:left="360" w:right="344" w:firstLine="630"/>
        <w:jc w:val="both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要充分发挥审委会的职能作用，建立健全提高刑事、民事、行政案件审判质量的指导机制，着力提升审判实体裁判水平，最大限度地提高案件服判息诉率，最大限度地在审判程序内彻底化解矛盾纠纷。</w:t>
      </w:r>
    </w:p>
    <w:p w:rsidR="00025DD3" w:rsidRDefault="00025DD3">
      <w:pPr>
        <w:spacing w:line="360" w:lineRule="auto"/>
        <w:ind w:left="360" w:right="344" w:firstLine="630"/>
        <w:jc w:val="both"/>
        <w:rPr>
          <w:rFonts w:ascii="楷体" w:eastAsia="楷体" w:hAnsi="楷体"/>
          <w:color w:val="000000" w:themeColor="text1"/>
          <w:sz w:val="32"/>
          <w:szCs w:val="32"/>
        </w:rPr>
      </w:pPr>
    </w:p>
    <w:p w:rsidR="00025DD3" w:rsidRDefault="00B17BCD">
      <w:pPr>
        <w:spacing w:line="360" w:lineRule="auto"/>
        <w:ind w:left="360" w:right="344" w:firstLine="630"/>
        <w:jc w:val="both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lastRenderedPageBreak/>
        <w:t>2.强化法定审限内结案率考核，提升收结案比，缩短办案周期，加强均衡结案工作。</w:t>
      </w:r>
    </w:p>
    <w:p w:rsidR="00025DD3" w:rsidRDefault="00B17BCD">
      <w:pPr>
        <w:spacing w:line="360" w:lineRule="auto"/>
        <w:ind w:left="360" w:right="344" w:firstLine="630"/>
        <w:jc w:val="both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强化均衡结案意识，将均衡结案、法定审限内结案和提升结收案比有效结合，实现办案工作常态化，避免造成某些案件久拖不决或匆忙结案的被动局面，坚决杜绝“案件多时低质量、案件少时低效率”和“年初不结案、年底突击结案”的现象，确保审判效率高效、良性循环发展。</w:t>
      </w:r>
    </w:p>
    <w:p w:rsidR="00025DD3" w:rsidRDefault="00025DD3">
      <w:pPr>
        <w:spacing w:line="360" w:lineRule="auto"/>
        <w:ind w:left="360" w:right="344" w:firstLine="630"/>
        <w:jc w:val="both"/>
        <w:rPr>
          <w:rFonts w:ascii="楷体" w:eastAsia="楷体" w:hAnsi="楷体"/>
          <w:color w:val="000000" w:themeColor="text1"/>
          <w:sz w:val="32"/>
          <w:szCs w:val="32"/>
        </w:rPr>
      </w:pPr>
    </w:p>
    <w:p w:rsidR="00025DD3" w:rsidRDefault="00B17BCD">
      <w:pPr>
        <w:spacing w:line="360" w:lineRule="auto"/>
        <w:ind w:left="360" w:right="344" w:firstLine="630"/>
        <w:jc w:val="both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color w:val="000000" w:themeColor="text1"/>
          <w:sz w:val="32"/>
          <w:szCs w:val="32"/>
        </w:rPr>
        <w:t>3.突出四个强化，提高审判质效。</w:t>
      </w:r>
    </w:p>
    <w:p w:rsidR="00025DD3" w:rsidRDefault="00B17BCD">
      <w:pPr>
        <w:spacing w:line="360" w:lineRule="auto"/>
        <w:ind w:left="360" w:right="344" w:firstLine="630"/>
        <w:jc w:val="both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一是强化主审法官职责，依法查明案件事实，正确适用法律，认真撰写裁判文书；二是强化合议庭职责，利用业务学习的机会，对重大案件、疑难复杂案件以及有较大社会影响的案件予以讨论，定期分析讲评改判发回案件，总结审判经验；三是强化庭长管理职能，以质效指标体系为抓手，强化审判管理工作；四是强化书记员职责，书记员的庭审笔录、文书校对、电子档案录入、卷宗归档等工作与主审法官共同考核，共担责任。</w:t>
      </w:r>
    </w:p>
    <w:p w:rsidR="00025DD3" w:rsidRDefault="00B17BCD">
      <w:pPr>
        <w:spacing w:line="360" w:lineRule="auto"/>
        <w:ind w:left="360" w:right="344" w:firstLine="630"/>
        <w:jc w:val="both"/>
        <w:rPr>
          <w:rFonts w:ascii="新宋体" w:eastAsia="新宋体" w:hAnsi="新宋体"/>
          <w:color w:val="000000" w:themeColor="text1"/>
          <w:sz w:val="29"/>
        </w:rPr>
      </w:pPr>
      <w:r>
        <w:rPr>
          <w:rFonts w:ascii="新宋体" w:eastAsia="新宋体" w:hAnsi="新宋体" w:hint="eastAsia"/>
          <w:color w:val="000000" w:themeColor="text1"/>
          <w:sz w:val="29"/>
        </w:rPr>
        <w:t>全面提升审判管理水平；并在做好审判执行工作的同时，有意识地加强审判管理的理论研究工作，努力发现和把握审判管理的基本规律，促进审判管理工作更加规范化、制度化、科学化。</w:t>
      </w:r>
    </w:p>
    <w:p w:rsidR="00025DD3" w:rsidRDefault="00025DD3">
      <w:pPr>
        <w:rPr>
          <w:color w:val="000000" w:themeColor="text1"/>
        </w:rPr>
      </w:pPr>
    </w:p>
    <w:p w:rsidR="00025DD3" w:rsidRDefault="00025DD3">
      <w:pPr>
        <w:spacing w:line="300" w:lineRule="auto"/>
        <w:ind w:left="357" w:right="346" w:firstLine="629"/>
        <w:jc w:val="both"/>
        <w:rPr>
          <w:rFonts w:ascii="新宋体" w:eastAsia="新宋体" w:hAnsi="新宋体"/>
          <w:b/>
          <w:color w:val="000000" w:themeColor="text1"/>
          <w:sz w:val="32"/>
        </w:rPr>
      </w:pPr>
    </w:p>
    <w:p w:rsidR="00025DD3" w:rsidRDefault="002120E7" w:rsidP="007D2518">
      <w:pPr>
        <w:spacing w:line="360" w:lineRule="auto"/>
        <w:rPr>
          <w:rFonts w:ascii="Times New Roman" w:hAnsi="Times New Roman"/>
        </w:rPr>
      </w:pPr>
      <w:r>
        <w:rPr>
          <w:rFonts w:ascii="新宋体" w:eastAsia="新宋体" w:hAnsi="新宋体" w:hint="eastAsia"/>
          <w:b/>
          <w:color w:val="000000" w:themeColor="text1"/>
          <w:sz w:val="32"/>
        </w:rPr>
        <w:t xml:space="preserve"> </w:t>
      </w:r>
    </w:p>
    <w:p w:rsidR="00025DD3" w:rsidRDefault="00025DD3">
      <w:pPr>
        <w:spacing w:line="360" w:lineRule="auto"/>
        <w:ind w:leftChars="180" w:left="360" w:firstLineChars="196" w:firstLine="392"/>
        <w:rPr>
          <w:rFonts w:ascii="Times New Roman" w:hAnsi="Times New Roman"/>
        </w:rPr>
      </w:pPr>
    </w:p>
    <w:p w:rsidR="00025DD3" w:rsidRDefault="00025DD3">
      <w:pPr>
        <w:spacing w:line="360" w:lineRule="auto"/>
        <w:ind w:leftChars="180" w:left="360" w:firstLineChars="196" w:firstLine="392"/>
        <w:rPr>
          <w:rFonts w:ascii="Times New Roman" w:hAnsi="Times New Roman"/>
        </w:rPr>
      </w:pPr>
    </w:p>
    <w:p w:rsidR="00025DD3" w:rsidRDefault="00B17BCD" w:rsidP="007D2518">
      <w:pPr>
        <w:spacing w:line="360" w:lineRule="auto"/>
        <w:ind w:leftChars="180" w:left="360" w:firstLineChars="1594" w:firstLine="4801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 xml:space="preserve"> </w:t>
      </w:r>
      <w:r>
        <w:rPr>
          <w:rFonts w:ascii="Times New Roman" w:hAnsi="Times New Roman" w:hint="eastAsia"/>
          <w:b/>
          <w:sz w:val="30"/>
          <w:szCs w:val="30"/>
        </w:rPr>
        <w:t>前郭法院审判管理办公室</w:t>
      </w:r>
    </w:p>
    <w:p w:rsidR="00025DD3" w:rsidRDefault="00025DD3">
      <w:pPr>
        <w:spacing w:line="360" w:lineRule="auto"/>
        <w:ind w:leftChars="180" w:left="360" w:firstLineChars="196" w:firstLine="551"/>
        <w:rPr>
          <w:rFonts w:ascii="Times New Roman" w:hAnsi="Times New Roman"/>
          <w:b/>
          <w:sz w:val="28"/>
          <w:szCs w:val="28"/>
        </w:rPr>
      </w:pPr>
    </w:p>
    <w:p w:rsidR="00025DD3" w:rsidRDefault="00B17BCD">
      <w:pPr>
        <w:spacing w:line="360" w:lineRule="auto"/>
        <w:ind w:leftChars="180" w:left="360" w:firstLineChars="196" w:firstLine="5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        </w:t>
      </w:r>
      <w:r w:rsidR="00131F3A">
        <w:rPr>
          <w:rFonts w:ascii="Times New Roman" w:hAnsi="Times New Roman" w:hint="eastAsia"/>
          <w:b/>
          <w:sz w:val="28"/>
          <w:szCs w:val="28"/>
        </w:rPr>
        <w:t xml:space="preserve">                            2023</w:t>
      </w:r>
      <w:r>
        <w:rPr>
          <w:rFonts w:ascii="Times New Roman" w:hAnsi="Times New Roman" w:hint="eastAsia"/>
          <w:b/>
          <w:sz w:val="28"/>
          <w:szCs w:val="28"/>
        </w:rPr>
        <w:t>年</w:t>
      </w:r>
      <w:r w:rsidR="00C11BAE">
        <w:rPr>
          <w:rFonts w:ascii="Times New Roman" w:hAnsi="Times New Roman" w:hint="eastAsia"/>
          <w:b/>
          <w:sz w:val="28"/>
          <w:szCs w:val="28"/>
        </w:rPr>
        <w:t>7</w:t>
      </w:r>
      <w:r>
        <w:rPr>
          <w:rFonts w:ascii="Times New Roman" w:hAnsi="Times New Roman" w:hint="eastAsia"/>
          <w:b/>
          <w:sz w:val="28"/>
          <w:szCs w:val="28"/>
        </w:rPr>
        <w:t>月</w:t>
      </w:r>
      <w:r w:rsidR="00C11BAE">
        <w:rPr>
          <w:rFonts w:ascii="Times New Roman" w:hAnsi="Times New Roman" w:hint="eastAsia"/>
          <w:b/>
          <w:sz w:val="28"/>
          <w:szCs w:val="28"/>
        </w:rPr>
        <w:t>4</w:t>
      </w:r>
      <w:r>
        <w:rPr>
          <w:rFonts w:ascii="Times New Roman" w:hAnsi="Times New Roman" w:hint="eastAsia"/>
          <w:b/>
          <w:sz w:val="28"/>
          <w:szCs w:val="28"/>
        </w:rPr>
        <w:t>日</w:t>
      </w:r>
    </w:p>
    <w:p w:rsidR="00025DD3" w:rsidRDefault="00025DD3">
      <w:pPr>
        <w:spacing w:line="360" w:lineRule="auto"/>
        <w:ind w:leftChars="180" w:left="360" w:firstLineChars="196" w:firstLine="551"/>
        <w:rPr>
          <w:rFonts w:ascii="Times New Roman" w:hAnsi="Times New Roman"/>
          <w:b/>
          <w:sz w:val="28"/>
          <w:szCs w:val="28"/>
        </w:rPr>
      </w:pPr>
    </w:p>
    <w:sectPr w:rsidR="00025DD3" w:rsidSect="00025DD3">
      <w:headerReference w:type="default" r:id="rId16"/>
      <w:pgSz w:w="11900" w:h="16840"/>
      <w:pgMar w:top="1418" w:right="1440" w:bottom="492" w:left="1440" w:header="0" w:footer="0" w:gutter="0"/>
      <w:cols w:space="720" w:equalWidth="0">
        <w:col w:w="902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04" w:rsidRDefault="00114204" w:rsidP="00025DD3">
      <w:r>
        <w:separator/>
      </w:r>
    </w:p>
  </w:endnote>
  <w:endnote w:type="continuationSeparator" w:id="1">
    <w:p w:rsidR="00114204" w:rsidRDefault="00114204" w:rsidP="00025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96113"/>
      <w:docPartObj>
        <w:docPartGallery w:val="AutoText"/>
      </w:docPartObj>
    </w:sdtPr>
    <w:sdtContent>
      <w:p w:rsidR="00025DD3" w:rsidRDefault="00105151">
        <w:pPr>
          <w:pStyle w:val="a5"/>
          <w:jc w:val="center"/>
        </w:pPr>
        <w:r w:rsidRPr="00105151">
          <w:fldChar w:fldCharType="begin"/>
        </w:r>
        <w:r w:rsidR="00B17BCD">
          <w:instrText xml:space="preserve"> PAGE   \* MERGEFORMAT </w:instrText>
        </w:r>
        <w:r w:rsidRPr="00105151">
          <w:fldChar w:fldCharType="separate"/>
        </w:r>
        <w:r w:rsidR="006110F1" w:rsidRPr="006110F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25DD3" w:rsidRDefault="00025D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04" w:rsidRDefault="00114204" w:rsidP="00025DD3">
      <w:r>
        <w:separator/>
      </w:r>
    </w:p>
  </w:footnote>
  <w:footnote w:type="continuationSeparator" w:id="1">
    <w:p w:rsidR="00114204" w:rsidRDefault="00114204" w:rsidP="00025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D3" w:rsidRDefault="00B17BCD">
    <w:pPr>
      <w:pStyle w:val="a6"/>
    </w:pPr>
    <w:r>
      <w:rPr>
        <w:rFonts w:ascii="楷体" w:eastAsia="楷体" w:hAnsi="楷体" w:hint="eastAsia"/>
        <w:b/>
        <w:sz w:val="24"/>
        <w:szCs w:val="24"/>
      </w:rPr>
      <w:t>前郭法院审判基础数据及审判运行态势分析报告</w:t>
    </w:r>
    <w:r>
      <w:rPr>
        <w:rFonts w:ascii="楷体" w:eastAsia="楷体" w:hAnsi="楷体" w:hint="eastAsia"/>
        <w:b/>
        <w:noProof/>
        <w:sz w:val="24"/>
        <w:szCs w:val="24"/>
      </w:rPr>
      <w:drawing>
        <wp:inline distT="0" distB="0" distL="0" distR="0">
          <wp:extent cx="261620" cy="276225"/>
          <wp:effectExtent l="19050" t="0" r="5080" b="0"/>
          <wp:docPr id="14" name="图片 5" descr="法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5" descr="法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28" cy="28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D3" w:rsidRDefault="00025DD3">
    <w:pPr>
      <w:pStyle w:val="a6"/>
      <w:rPr>
        <w:rFonts w:ascii="楷体" w:eastAsia="楷体" w:hAnsi="楷体"/>
        <w:b/>
        <w:sz w:val="24"/>
        <w:szCs w:val="24"/>
      </w:rPr>
    </w:pPr>
  </w:p>
  <w:p w:rsidR="00025DD3" w:rsidRDefault="00025DD3">
    <w:pPr>
      <w:pStyle w:val="a6"/>
      <w:rPr>
        <w:rFonts w:ascii="楷体" w:eastAsia="楷体" w:hAnsi="楷体"/>
        <w:b/>
        <w:sz w:val="24"/>
        <w:szCs w:val="24"/>
      </w:rPr>
    </w:pPr>
  </w:p>
  <w:p w:rsidR="00025DD3" w:rsidRDefault="00B17BCD">
    <w:pPr>
      <w:pStyle w:val="a6"/>
    </w:pPr>
    <w:r>
      <w:rPr>
        <w:rFonts w:ascii="楷体" w:eastAsia="楷体" w:hAnsi="楷体" w:hint="eastAsia"/>
        <w:b/>
        <w:sz w:val="24"/>
        <w:szCs w:val="24"/>
      </w:rPr>
      <w:t>前郭法院审判基础数据及审判运行态势分析报告</w:t>
    </w:r>
    <w:r>
      <w:rPr>
        <w:rFonts w:ascii="楷体" w:eastAsia="楷体" w:hAnsi="楷体" w:hint="eastAsia"/>
        <w:b/>
        <w:noProof/>
        <w:sz w:val="24"/>
        <w:szCs w:val="24"/>
      </w:rPr>
      <w:drawing>
        <wp:inline distT="0" distB="0" distL="0" distR="0">
          <wp:extent cx="261620" cy="276225"/>
          <wp:effectExtent l="19050" t="0" r="5080" b="0"/>
          <wp:docPr id="15" name="图片 5" descr="法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5" descr="法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28" cy="287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5DD3" w:rsidRDefault="00025DD3">
    <w:pPr>
      <w:pStyle w:val="a6"/>
      <w:pBdr>
        <w:bottom w:val="none" w:sz="0" w:space="0" w:color="auto"/>
      </w:pBdr>
      <w:ind w:firstLineChars="829" w:firstLine="1997"/>
      <w:jc w:val="both"/>
      <w:rPr>
        <w:rFonts w:ascii="楷体" w:eastAsia="楷体" w:hAnsi="楷体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733"/>
    <w:rsid w:val="0000328D"/>
    <w:rsid w:val="00003AC3"/>
    <w:rsid w:val="000068F8"/>
    <w:rsid w:val="000121C7"/>
    <w:rsid w:val="00013102"/>
    <w:rsid w:val="00013E6C"/>
    <w:rsid w:val="00015E7D"/>
    <w:rsid w:val="00016D9A"/>
    <w:rsid w:val="00020837"/>
    <w:rsid w:val="000220C0"/>
    <w:rsid w:val="00023A69"/>
    <w:rsid w:val="00025DD3"/>
    <w:rsid w:val="0003097F"/>
    <w:rsid w:val="0003365D"/>
    <w:rsid w:val="00037483"/>
    <w:rsid w:val="0003778B"/>
    <w:rsid w:val="00037FB0"/>
    <w:rsid w:val="000410F7"/>
    <w:rsid w:val="0004275B"/>
    <w:rsid w:val="0004382B"/>
    <w:rsid w:val="00051082"/>
    <w:rsid w:val="00055FE3"/>
    <w:rsid w:val="00057417"/>
    <w:rsid w:val="000575B9"/>
    <w:rsid w:val="00057684"/>
    <w:rsid w:val="00057B02"/>
    <w:rsid w:val="00060D2D"/>
    <w:rsid w:val="00062CA2"/>
    <w:rsid w:val="00065543"/>
    <w:rsid w:val="00065969"/>
    <w:rsid w:val="00066E57"/>
    <w:rsid w:val="000673E4"/>
    <w:rsid w:val="00076A5D"/>
    <w:rsid w:val="00077F35"/>
    <w:rsid w:val="00082C4C"/>
    <w:rsid w:val="00084A6A"/>
    <w:rsid w:val="00085AA2"/>
    <w:rsid w:val="0008616C"/>
    <w:rsid w:val="0008627E"/>
    <w:rsid w:val="0008706E"/>
    <w:rsid w:val="00090E82"/>
    <w:rsid w:val="00092914"/>
    <w:rsid w:val="000930A9"/>
    <w:rsid w:val="000934E2"/>
    <w:rsid w:val="00093BFC"/>
    <w:rsid w:val="000941A7"/>
    <w:rsid w:val="00095AA4"/>
    <w:rsid w:val="000A022F"/>
    <w:rsid w:val="000A1564"/>
    <w:rsid w:val="000A35E5"/>
    <w:rsid w:val="000A3DE7"/>
    <w:rsid w:val="000A5DD4"/>
    <w:rsid w:val="000A6C69"/>
    <w:rsid w:val="000A7537"/>
    <w:rsid w:val="000B357F"/>
    <w:rsid w:val="000B39B9"/>
    <w:rsid w:val="000B434E"/>
    <w:rsid w:val="000C2C79"/>
    <w:rsid w:val="000C400E"/>
    <w:rsid w:val="000C49AC"/>
    <w:rsid w:val="000C4F71"/>
    <w:rsid w:val="000C7BC0"/>
    <w:rsid w:val="000D1356"/>
    <w:rsid w:val="000D1B29"/>
    <w:rsid w:val="000D2733"/>
    <w:rsid w:val="000D36AB"/>
    <w:rsid w:val="000D7B72"/>
    <w:rsid w:val="000E39BF"/>
    <w:rsid w:val="000E5EC6"/>
    <w:rsid w:val="000E7F19"/>
    <w:rsid w:val="000F1571"/>
    <w:rsid w:val="000F17AA"/>
    <w:rsid w:val="000F2696"/>
    <w:rsid w:val="000F2C5F"/>
    <w:rsid w:val="000F374F"/>
    <w:rsid w:val="000F387E"/>
    <w:rsid w:val="000F567E"/>
    <w:rsid w:val="000F5D38"/>
    <w:rsid w:val="000F6CE0"/>
    <w:rsid w:val="000F736B"/>
    <w:rsid w:val="001004D0"/>
    <w:rsid w:val="00100966"/>
    <w:rsid w:val="00102B35"/>
    <w:rsid w:val="0010342A"/>
    <w:rsid w:val="00105151"/>
    <w:rsid w:val="001061F0"/>
    <w:rsid w:val="00106F4A"/>
    <w:rsid w:val="00107E0F"/>
    <w:rsid w:val="00111297"/>
    <w:rsid w:val="00111564"/>
    <w:rsid w:val="001117A4"/>
    <w:rsid w:val="001128D9"/>
    <w:rsid w:val="00114204"/>
    <w:rsid w:val="00120766"/>
    <w:rsid w:val="0012263D"/>
    <w:rsid w:val="001272C3"/>
    <w:rsid w:val="00131D19"/>
    <w:rsid w:val="00131F3A"/>
    <w:rsid w:val="00135393"/>
    <w:rsid w:val="00135D28"/>
    <w:rsid w:val="00136700"/>
    <w:rsid w:val="0014013D"/>
    <w:rsid w:val="00142DCF"/>
    <w:rsid w:val="00143BD7"/>
    <w:rsid w:val="00145FA0"/>
    <w:rsid w:val="001469BE"/>
    <w:rsid w:val="001522D8"/>
    <w:rsid w:val="00152AE7"/>
    <w:rsid w:val="0015303F"/>
    <w:rsid w:val="00154FC8"/>
    <w:rsid w:val="0016118C"/>
    <w:rsid w:val="0016247A"/>
    <w:rsid w:val="00163524"/>
    <w:rsid w:val="0016554F"/>
    <w:rsid w:val="0016587B"/>
    <w:rsid w:val="00166F6E"/>
    <w:rsid w:val="00170006"/>
    <w:rsid w:val="00170209"/>
    <w:rsid w:val="00175933"/>
    <w:rsid w:val="00181486"/>
    <w:rsid w:val="00181FFD"/>
    <w:rsid w:val="0018361D"/>
    <w:rsid w:val="00185CFC"/>
    <w:rsid w:val="0018718B"/>
    <w:rsid w:val="00190348"/>
    <w:rsid w:val="001A1D7A"/>
    <w:rsid w:val="001A3F9B"/>
    <w:rsid w:val="001A4B03"/>
    <w:rsid w:val="001A63D6"/>
    <w:rsid w:val="001A6A5F"/>
    <w:rsid w:val="001B0C61"/>
    <w:rsid w:val="001B65C0"/>
    <w:rsid w:val="001B701D"/>
    <w:rsid w:val="001B7296"/>
    <w:rsid w:val="001C03CB"/>
    <w:rsid w:val="001C345C"/>
    <w:rsid w:val="001C5212"/>
    <w:rsid w:val="001D1A24"/>
    <w:rsid w:val="001D1B8F"/>
    <w:rsid w:val="001D243E"/>
    <w:rsid w:val="001D320E"/>
    <w:rsid w:val="001D41E3"/>
    <w:rsid w:val="001D4361"/>
    <w:rsid w:val="001E055E"/>
    <w:rsid w:val="001E1B7D"/>
    <w:rsid w:val="001E3E48"/>
    <w:rsid w:val="001E4D30"/>
    <w:rsid w:val="001E56C4"/>
    <w:rsid w:val="001E751F"/>
    <w:rsid w:val="001F0D70"/>
    <w:rsid w:val="001F25B1"/>
    <w:rsid w:val="001F3F2E"/>
    <w:rsid w:val="001F7484"/>
    <w:rsid w:val="002017E2"/>
    <w:rsid w:val="00204250"/>
    <w:rsid w:val="002069E1"/>
    <w:rsid w:val="002120E7"/>
    <w:rsid w:val="00212168"/>
    <w:rsid w:val="00215178"/>
    <w:rsid w:val="00220C4E"/>
    <w:rsid w:val="00222924"/>
    <w:rsid w:val="002251C3"/>
    <w:rsid w:val="00225FFB"/>
    <w:rsid w:val="00226E67"/>
    <w:rsid w:val="00227FF7"/>
    <w:rsid w:val="0023165B"/>
    <w:rsid w:val="00232E97"/>
    <w:rsid w:val="00232FE2"/>
    <w:rsid w:val="00241EC9"/>
    <w:rsid w:val="00244E8C"/>
    <w:rsid w:val="0024641B"/>
    <w:rsid w:val="00247D55"/>
    <w:rsid w:val="00250391"/>
    <w:rsid w:val="0025115F"/>
    <w:rsid w:val="0025180F"/>
    <w:rsid w:val="002537CE"/>
    <w:rsid w:val="002546AE"/>
    <w:rsid w:val="002551D9"/>
    <w:rsid w:val="0025559A"/>
    <w:rsid w:val="00255765"/>
    <w:rsid w:val="00257547"/>
    <w:rsid w:val="00257A9E"/>
    <w:rsid w:val="0026003A"/>
    <w:rsid w:val="00262412"/>
    <w:rsid w:val="002675AB"/>
    <w:rsid w:val="002678C4"/>
    <w:rsid w:val="00267F58"/>
    <w:rsid w:val="00270EF8"/>
    <w:rsid w:val="00271B3A"/>
    <w:rsid w:val="0027298D"/>
    <w:rsid w:val="002740DB"/>
    <w:rsid w:val="00274D9A"/>
    <w:rsid w:val="00275063"/>
    <w:rsid w:val="00276460"/>
    <w:rsid w:val="0027781D"/>
    <w:rsid w:val="002800BF"/>
    <w:rsid w:val="00282693"/>
    <w:rsid w:val="00286FD8"/>
    <w:rsid w:val="002910A0"/>
    <w:rsid w:val="00291E9F"/>
    <w:rsid w:val="0029759C"/>
    <w:rsid w:val="002A0664"/>
    <w:rsid w:val="002A0794"/>
    <w:rsid w:val="002A3764"/>
    <w:rsid w:val="002A72B9"/>
    <w:rsid w:val="002A7B82"/>
    <w:rsid w:val="002B0A1C"/>
    <w:rsid w:val="002B3038"/>
    <w:rsid w:val="002B366B"/>
    <w:rsid w:val="002B7FA0"/>
    <w:rsid w:val="002C3AB4"/>
    <w:rsid w:val="002C5324"/>
    <w:rsid w:val="002C5F68"/>
    <w:rsid w:val="002C64A9"/>
    <w:rsid w:val="002C743E"/>
    <w:rsid w:val="002D06BD"/>
    <w:rsid w:val="002D1FFD"/>
    <w:rsid w:val="002D2444"/>
    <w:rsid w:val="002D28E0"/>
    <w:rsid w:val="002D3CEC"/>
    <w:rsid w:val="002D454D"/>
    <w:rsid w:val="002D4CCF"/>
    <w:rsid w:val="002D6C1E"/>
    <w:rsid w:val="002D6FC8"/>
    <w:rsid w:val="002D7D87"/>
    <w:rsid w:val="002E3B7F"/>
    <w:rsid w:val="002E4EDE"/>
    <w:rsid w:val="002E5E05"/>
    <w:rsid w:val="002F47BA"/>
    <w:rsid w:val="002F4955"/>
    <w:rsid w:val="002F5C07"/>
    <w:rsid w:val="00300509"/>
    <w:rsid w:val="003006A2"/>
    <w:rsid w:val="0030121B"/>
    <w:rsid w:val="0030447A"/>
    <w:rsid w:val="003049D9"/>
    <w:rsid w:val="0030552A"/>
    <w:rsid w:val="003071E0"/>
    <w:rsid w:val="003110D4"/>
    <w:rsid w:val="00311263"/>
    <w:rsid w:val="00313C83"/>
    <w:rsid w:val="003214D3"/>
    <w:rsid w:val="00324B28"/>
    <w:rsid w:val="00325827"/>
    <w:rsid w:val="00326AA2"/>
    <w:rsid w:val="00331FC9"/>
    <w:rsid w:val="003343D8"/>
    <w:rsid w:val="003346D3"/>
    <w:rsid w:val="00335884"/>
    <w:rsid w:val="003371A3"/>
    <w:rsid w:val="00342215"/>
    <w:rsid w:val="003471B0"/>
    <w:rsid w:val="00350D1D"/>
    <w:rsid w:val="0035316F"/>
    <w:rsid w:val="00353236"/>
    <w:rsid w:val="00354434"/>
    <w:rsid w:val="00355074"/>
    <w:rsid w:val="00355EF9"/>
    <w:rsid w:val="00356298"/>
    <w:rsid w:val="00366265"/>
    <w:rsid w:val="003677F5"/>
    <w:rsid w:val="00373EDE"/>
    <w:rsid w:val="00375761"/>
    <w:rsid w:val="00376EF9"/>
    <w:rsid w:val="00380D77"/>
    <w:rsid w:val="0038166C"/>
    <w:rsid w:val="00385B46"/>
    <w:rsid w:val="00386849"/>
    <w:rsid w:val="0039271E"/>
    <w:rsid w:val="0039479C"/>
    <w:rsid w:val="0039577B"/>
    <w:rsid w:val="00395B8E"/>
    <w:rsid w:val="003A098F"/>
    <w:rsid w:val="003A42B9"/>
    <w:rsid w:val="003A4F68"/>
    <w:rsid w:val="003A53D7"/>
    <w:rsid w:val="003A7492"/>
    <w:rsid w:val="003A7E28"/>
    <w:rsid w:val="003B0EE6"/>
    <w:rsid w:val="003B1481"/>
    <w:rsid w:val="003B42F1"/>
    <w:rsid w:val="003C09BB"/>
    <w:rsid w:val="003C410B"/>
    <w:rsid w:val="003C51F3"/>
    <w:rsid w:val="003C5A8B"/>
    <w:rsid w:val="003D07FE"/>
    <w:rsid w:val="003D0A14"/>
    <w:rsid w:val="003D2338"/>
    <w:rsid w:val="003D4180"/>
    <w:rsid w:val="003D4FE2"/>
    <w:rsid w:val="003D5AAE"/>
    <w:rsid w:val="003D6AA4"/>
    <w:rsid w:val="003E4AA6"/>
    <w:rsid w:val="003F3E08"/>
    <w:rsid w:val="003F4960"/>
    <w:rsid w:val="003F66BB"/>
    <w:rsid w:val="004003C5"/>
    <w:rsid w:val="004013D1"/>
    <w:rsid w:val="00401B23"/>
    <w:rsid w:val="00401CB4"/>
    <w:rsid w:val="00402CE0"/>
    <w:rsid w:val="00404973"/>
    <w:rsid w:val="0040734F"/>
    <w:rsid w:val="00407BA3"/>
    <w:rsid w:val="0041061C"/>
    <w:rsid w:val="004112B6"/>
    <w:rsid w:val="0041179E"/>
    <w:rsid w:val="00413DDF"/>
    <w:rsid w:val="00414D53"/>
    <w:rsid w:val="004152B3"/>
    <w:rsid w:val="00415487"/>
    <w:rsid w:val="004154F6"/>
    <w:rsid w:val="00417294"/>
    <w:rsid w:val="004201CB"/>
    <w:rsid w:val="0042292D"/>
    <w:rsid w:val="004233A0"/>
    <w:rsid w:val="0042532F"/>
    <w:rsid w:val="004260C2"/>
    <w:rsid w:val="004304FE"/>
    <w:rsid w:val="004305FF"/>
    <w:rsid w:val="004324B2"/>
    <w:rsid w:val="004331CC"/>
    <w:rsid w:val="0043508A"/>
    <w:rsid w:val="0043581E"/>
    <w:rsid w:val="00436B64"/>
    <w:rsid w:val="004371BB"/>
    <w:rsid w:val="004402D7"/>
    <w:rsid w:val="00441F61"/>
    <w:rsid w:val="004423AA"/>
    <w:rsid w:val="00442F30"/>
    <w:rsid w:val="004447E6"/>
    <w:rsid w:val="00446E21"/>
    <w:rsid w:val="004471A1"/>
    <w:rsid w:val="00447B77"/>
    <w:rsid w:val="00450A7C"/>
    <w:rsid w:val="004529DE"/>
    <w:rsid w:val="00452C5D"/>
    <w:rsid w:val="00452D67"/>
    <w:rsid w:val="00460674"/>
    <w:rsid w:val="0046075D"/>
    <w:rsid w:val="004614A7"/>
    <w:rsid w:val="00461961"/>
    <w:rsid w:val="00461AF3"/>
    <w:rsid w:val="00463105"/>
    <w:rsid w:val="00465AFA"/>
    <w:rsid w:val="00465C52"/>
    <w:rsid w:val="00466BD4"/>
    <w:rsid w:val="004673EF"/>
    <w:rsid w:val="00472A66"/>
    <w:rsid w:val="00474120"/>
    <w:rsid w:val="00475A01"/>
    <w:rsid w:val="00481810"/>
    <w:rsid w:val="0048254C"/>
    <w:rsid w:val="00483521"/>
    <w:rsid w:val="004876C3"/>
    <w:rsid w:val="004908DF"/>
    <w:rsid w:val="004926B2"/>
    <w:rsid w:val="004927FF"/>
    <w:rsid w:val="00495CA8"/>
    <w:rsid w:val="00496E3D"/>
    <w:rsid w:val="00496EDB"/>
    <w:rsid w:val="004A2182"/>
    <w:rsid w:val="004A2321"/>
    <w:rsid w:val="004A51B5"/>
    <w:rsid w:val="004A6D65"/>
    <w:rsid w:val="004A72C7"/>
    <w:rsid w:val="004B273F"/>
    <w:rsid w:val="004B32AA"/>
    <w:rsid w:val="004B3516"/>
    <w:rsid w:val="004C0679"/>
    <w:rsid w:val="004C2EB1"/>
    <w:rsid w:val="004C37E4"/>
    <w:rsid w:val="004C3916"/>
    <w:rsid w:val="004C3EA4"/>
    <w:rsid w:val="004C54C6"/>
    <w:rsid w:val="004C683D"/>
    <w:rsid w:val="004D01C0"/>
    <w:rsid w:val="004D18B2"/>
    <w:rsid w:val="004D1C6E"/>
    <w:rsid w:val="004D7931"/>
    <w:rsid w:val="004E17E6"/>
    <w:rsid w:val="004E4964"/>
    <w:rsid w:val="004E5251"/>
    <w:rsid w:val="004E7430"/>
    <w:rsid w:val="004F1650"/>
    <w:rsid w:val="004F2A87"/>
    <w:rsid w:val="004F3A64"/>
    <w:rsid w:val="004F692F"/>
    <w:rsid w:val="004F747E"/>
    <w:rsid w:val="005035DA"/>
    <w:rsid w:val="005046B3"/>
    <w:rsid w:val="0050576C"/>
    <w:rsid w:val="00505A25"/>
    <w:rsid w:val="00506FFD"/>
    <w:rsid w:val="00507A50"/>
    <w:rsid w:val="00510A50"/>
    <w:rsid w:val="00511DED"/>
    <w:rsid w:val="005128CD"/>
    <w:rsid w:val="005138F1"/>
    <w:rsid w:val="00515AA6"/>
    <w:rsid w:val="00523E60"/>
    <w:rsid w:val="0052692C"/>
    <w:rsid w:val="005331A7"/>
    <w:rsid w:val="00533267"/>
    <w:rsid w:val="00537C12"/>
    <w:rsid w:val="0054130D"/>
    <w:rsid w:val="00543A18"/>
    <w:rsid w:val="00543FB1"/>
    <w:rsid w:val="0054546A"/>
    <w:rsid w:val="00545779"/>
    <w:rsid w:val="00545BA5"/>
    <w:rsid w:val="00545D50"/>
    <w:rsid w:val="00552D08"/>
    <w:rsid w:val="00553DBA"/>
    <w:rsid w:val="00553ED2"/>
    <w:rsid w:val="00562A0B"/>
    <w:rsid w:val="00562F52"/>
    <w:rsid w:val="00566895"/>
    <w:rsid w:val="0056740E"/>
    <w:rsid w:val="00567875"/>
    <w:rsid w:val="00570889"/>
    <w:rsid w:val="005719BE"/>
    <w:rsid w:val="00574BFB"/>
    <w:rsid w:val="00575957"/>
    <w:rsid w:val="005759EA"/>
    <w:rsid w:val="00577AA3"/>
    <w:rsid w:val="005807E7"/>
    <w:rsid w:val="0058362C"/>
    <w:rsid w:val="00583A09"/>
    <w:rsid w:val="0059303D"/>
    <w:rsid w:val="005938B1"/>
    <w:rsid w:val="00597B61"/>
    <w:rsid w:val="005A10A5"/>
    <w:rsid w:val="005A2AEF"/>
    <w:rsid w:val="005A676F"/>
    <w:rsid w:val="005A68D1"/>
    <w:rsid w:val="005A7459"/>
    <w:rsid w:val="005B0668"/>
    <w:rsid w:val="005B0BCF"/>
    <w:rsid w:val="005B23B7"/>
    <w:rsid w:val="005B496A"/>
    <w:rsid w:val="005B51EE"/>
    <w:rsid w:val="005B60CE"/>
    <w:rsid w:val="005B740C"/>
    <w:rsid w:val="005C0BE3"/>
    <w:rsid w:val="005C13F3"/>
    <w:rsid w:val="005C17BB"/>
    <w:rsid w:val="005C2C26"/>
    <w:rsid w:val="005C344F"/>
    <w:rsid w:val="005C71DE"/>
    <w:rsid w:val="005D259C"/>
    <w:rsid w:val="005D2F4F"/>
    <w:rsid w:val="005E41A0"/>
    <w:rsid w:val="005E4BA3"/>
    <w:rsid w:val="005E792A"/>
    <w:rsid w:val="005F0AC4"/>
    <w:rsid w:val="005F1A3C"/>
    <w:rsid w:val="005F1BD0"/>
    <w:rsid w:val="005F42AC"/>
    <w:rsid w:val="005F4D6D"/>
    <w:rsid w:val="005F7623"/>
    <w:rsid w:val="00602078"/>
    <w:rsid w:val="006029E7"/>
    <w:rsid w:val="00602FC2"/>
    <w:rsid w:val="00603AE1"/>
    <w:rsid w:val="00603FDE"/>
    <w:rsid w:val="00605B59"/>
    <w:rsid w:val="00606F05"/>
    <w:rsid w:val="00610866"/>
    <w:rsid w:val="00610F1C"/>
    <w:rsid w:val="006110F1"/>
    <w:rsid w:val="0061176E"/>
    <w:rsid w:val="00612A52"/>
    <w:rsid w:val="00614750"/>
    <w:rsid w:val="00615F79"/>
    <w:rsid w:val="006216F3"/>
    <w:rsid w:val="006329C9"/>
    <w:rsid w:val="00633313"/>
    <w:rsid w:val="00633591"/>
    <w:rsid w:val="0063379D"/>
    <w:rsid w:val="00637322"/>
    <w:rsid w:val="0063750B"/>
    <w:rsid w:val="006410F6"/>
    <w:rsid w:val="0064198A"/>
    <w:rsid w:val="006423D1"/>
    <w:rsid w:val="00643195"/>
    <w:rsid w:val="00643637"/>
    <w:rsid w:val="006445FB"/>
    <w:rsid w:val="00644A97"/>
    <w:rsid w:val="00644E44"/>
    <w:rsid w:val="00646717"/>
    <w:rsid w:val="00650CAA"/>
    <w:rsid w:val="0065124E"/>
    <w:rsid w:val="00651A6D"/>
    <w:rsid w:val="00651CDF"/>
    <w:rsid w:val="00652492"/>
    <w:rsid w:val="006554EC"/>
    <w:rsid w:val="00657AE1"/>
    <w:rsid w:val="006637F1"/>
    <w:rsid w:val="00665004"/>
    <w:rsid w:val="00670465"/>
    <w:rsid w:val="00670BD0"/>
    <w:rsid w:val="00671243"/>
    <w:rsid w:val="006715DE"/>
    <w:rsid w:val="0067237D"/>
    <w:rsid w:val="00672B75"/>
    <w:rsid w:val="0067334E"/>
    <w:rsid w:val="006739ED"/>
    <w:rsid w:val="00674106"/>
    <w:rsid w:val="00674808"/>
    <w:rsid w:val="00677146"/>
    <w:rsid w:val="0067743A"/>
    <w:rsid w:val="00677EC4"/>
    <w:rsid w:val="00681967"/>
    <w:rsid w:val="0068242F"/>
    <w:rsid w:val="0068477A"/>
    <w:rsid w:val="00684F28"/>
    <w:rsid w:val="006866C4"/>
    <w:rsid w:val="0068689D"/>
    <w:rsid w:val="00687118"/>
    <w:rsid w:val="00692BE9"/>
    <w:rsid w:val="00694CE2"/>
    <w:rsid w:val="006A37DD"/>
    <w:rsid w:val="006A42CE"/>
    <w:rsid w:val="006B0A49"/>
    <w:rsid w:val="006B0CFA"/>
    <w:rsid w:val="006B13A0"/>
    <w:rsid w:val="006B1E25"/>
    <w:rsid w:val="006B5151"/>
    <w:rsid w:val="006B7B46"/>
    <w:rsid w:val="006C00A9"/>
    <w:rsid w:val="006C0556"/>
    <w:rsid w:val="006C314F"/>
    <w:rsid w:val="006C6B64"/>
    <w:rsid w:val="006C71C6"/>
    <w:rsid w:val="006C7DEE"/>
    <w:rsid w:val="006D335A"/>
    <w:rsid w:val="006D35D9"/>
    <w:rsid w:val="006E2566"/>
    <w:rsid w:val="006E37B6"/>
    <w:rsid w:val="006E65BA"/>
    <w:rsid w:val="006E6C19"/>
    <w:rsid w:val="006E72F1"/>
    <w:rsid w:val="006F03C0"/>
    <w:rsid w:val="006F1181"/>
    <w:rsid w:val="00700003"/>
    <w:rsid w:val="00702F33"/>
    <w:rsid w:val="00705295"/>
    <w:rsid w:val="00706914"/>
    <w:rsid w:val="00707B81"/>
    <w:rsid w:val="0071107D"/>
    <w:rsid w:val="00714A6E"/>
    <w:rsid w:val="00714D06"/>
    <w:rsid w:val="00714F9D"/>
    <w:rsid w:val="007154B6"/>
    <w:rsid w:val="00715E7E"/>
    <w:rsid w:val="00716C4A"/>
    <w:rsid w:val="00720390"/>
    <w:rsid w:val="00721E22"/>
    <w:rsid w:val="00721F26"/>
    <w:rsid w:val="00724A7C"/>
    <w:rsid w:val="007254EF"/>
    <w:rsid w:val="00725E0F"/>
    <w:rsid w:val="00727DFE"/>
    <w:rsid w:val="00731223"/>
    <w:rsid w:val="00731BA0"/>
    <w:rsid w:val="00733525"/>
    <w:rsid w:val="007371FA"/>
    <w:rsid w:val="0073725A"/>
    <w:rsid w:val="007400CE"/>
    <w:rsid w:val="007405FC"/>
    <w:rsid w:val="00740D9D"/>
    <w:rsid w:val="00742CF9"/>
    <w:rsid w:val="00743416"/>
    <w:rsid w:val="00746456"/>
    <w:rsid w:val="00750144"/>
    <w:rsid w:val="00752552"/>
    <w:rsid w:val="007538A8"/>
    <w:rsid w:val="007557F5"/>
    <w:rsid w:val="00755DAF"/>
    <w:rsid w:val="0075646E"/>
    <w:rsid w:val="00764C4E"/>
    <w:rsid w:val="007662B1"/>
    <w:rsid w:val="00766B76"/>
    <w:rsid w:val="00767963"/>
    <w:rsid w:val="007724D6"/>
    <w:rsid w:val="00773A72"/>
    <w:rsid w:val="00775F64"/>
    <w:rsid w:val="00783EA2"/>
    <w:rsid w:val="00791FA7"/>
    <w:rsid w:val="00792512"/>
    <w:rsid w:val="00793864"/>
    <w:rsid w:val="007970EC"/>
    <w:rsid w:val="007A0CE1"/>
    <w:rsid w:val="007A19CE"/>
    <w:rsid w:val="007A4FD1"/>
    <w:rsid w:val="007A5580"/>
    <w:rsid w:val="007A55C0"/>
    <w:rsid w:val="007B22F5"/>
    <w:rsid w:val="007B62DB"/>
    <w:rsid w:val="007B63E1"/>
    <w:rsid w:val="007C04FC"/>
    <w:rsid w:val="007C1832"/>
    <w:rsid w:val="007C328B"/>
    <w:rsid w:val="007C685F"/>
    <w:rsid w:val="007D029C"/>
    <w:rsid w:val="007D2518"/>
    <w:rsid w:val="007D2C2C"/>
    <w:rsid w:val="007D3775"/>
    <w:rsid w:val="007D6C8B"/>
    <w:rsid w:val="007E0C1B"/>
    <w:rsid w:val="007E476E"/>
    <w:rsid w:val="007E4EBD"/>
    <w:rsid w:val="007E6189"/>
    <w:rsid w:val="007F2BD5"/>
    <w:rsid w:val="007F2DDB"/>
    <w:rsid w:val="007F3E4E"/>
    <w:rsid w:val="0080134A"/>
    <w:rsid w:val="00802647"/>
    <w:rsid w:val="00802886"/>
    <w:rsid w:val="00802AA4"/>
    <w:rsid w:val="008030D4"/>
    <w:rsid w:val="00803C45"/>
    <w:rsid w:val="00804CDF"/>
    <w:rsid w:val="00806CF0"/>
    <w:rsid w:val="00807C04"/>
    <w:rsid w:val="008106FF"/>
    <w:rsid w:val="008120C0"/>
    <w:rsid w:val="00813163"/>
    <w:rsid w:val="00815051"/>
    <w:rsid w:val="008169DB"/>
    <w:rsid w:val="00817B2D"/>
    <w:rsid w:val="00820DFD"/>
    <w:rsid w:val="00821D6E"/>
    <w:rsid w:val="00824B01"/>
    <w:rsid w:val="00825504"/>
    <w:rsid w:val="0082658F"/>
    <w:rsid w:val="0083045D"/>
    <w:rsid w:val="00832046"/>
    <w:rsid w:val="0083433D"/>
    <w:rsid w:val="0083501F"/>
    <w:rsid w:val="00835DF8"/>
    <w:rsid w:val="00835EE5"/>
    <w:rsid w:val="00837220"/>
    <w:rsid w:val="00837A85"/>
    <w:rsid w:val="008405A8"/>
    <w:rsid w:val="00840807"/>
    <w:rsid w:val="0084145C"/>
    <w:rsid w:val="008416E1"/>
    <w:rsid w:val="00843702"/>
    <w:rsid w:val="0084390D"/>
    <w:rsid w:val="00845B45"/>
    <w:rsid w:val="00845DA5"/>
    <w:rsid w:val="008463B5"/>
    <w:rsid w:val="0084757C"/>
    <w:rsid w:val="00847C25"/>
    <w:rsid w:val="00851075"/>
    <w:rsid w:val="00854362"/>
    <w:rsid w:val="0085570C"/>
    <w:rsid w:val="0085651F"/>
    <w:rsid w:val="00856B15"/>
    <w:rsid w:val="0086032C"/>
    <w:rsid w:val="00862E45"/>
    <w:rsid w:val="00866974"/>
    <w:rsid w:val="00871AC6"/>
    <w:rsid w:val="008753A3"/>
    <w:rsid w:val="00877050"/>
    <w:rsid w:val="008779A7"/>
    <w:rsid w:val="00877C92"/>
    <w:rsid w:val="00877FE1"/>
    <w:rsid w:val="00880C74"/>
    <w:rsid w:val="00884289"/>
    <w:rsid w:val="00884EF0"/>
    <w:rsid w:val="008858E1"/>
    <w:rsid w:val="0089255B"/>
    <w:rsid w:val="008925A3"/>
    <w:rsid w:val="00892E49"/>
    <w:rsid w:val="008932CC"/>
    <w:rsid w:val="00896195"/>
    <w:rsid w:val="008A2B78"/>
    <w:rsid w:val="008A4131"/>
    <w:rsid w:val="008A45B1"/>
    <w:rsid w:val="008A5F82"/>
    <w:rsid w:val="008A73E3"/>
    <w:rsid w:val="008A7A33"/>
    <w:rsid w:val="008B07A6"/>
    <w:rsid w:val="008B2484"/>
    <w:rsid w:val="008B28BD"/>
    <w:rsid w:val="008B6980"/>
    <w:rsid w:val="008C2D09"/>
    <w:rsid w:val="008C2DF1"/>
    <w:rsid w:val="008C4395"/>
    <w:rsid w:val="008C740B"/>
    <w:rsid w:val="008C7505"/>
    <w:rsid w:val="008C76F2"/>
    <w:rsid w:val="008D517B"/>
    <w:rsid w:val="008E06C8"/>
    <w:rsid w:val="008E19E2"/>
    <w:rsid w:val="008E1A0D"/>
    <w:rsid w:val="008E1AC8"/>
    <w:rsid w:val="008E28A6"/>
    <w:rsid w:val="008E2F27"/>
    <w:rsid w:val="008E4796"/>
    <w:rsid w:val="008E4F24"/>
    <w:rsid w:val="008E6A97"/>
    <w:rsid w:val="008E754E"/>
    <w:rsid w:val="008F1E11"/>
    <w:rsid w:val="008F6032"/>
    <w:rsid w:val="008F6505"/>
    <w:rsid w:val="008F65C8"/>
    <w:rsid w:val="00903C02"/>
    <w:rsid w:val="00905909"/>
    <w:rsid w:val="009059E9"/>
    <w:rsid w:val="009076D9"/>
    <w:rsid w:val="00910E1D"/>
    <w:rsid w:val="009117FC"/>
    <w:rsid w:val="00913F62"/>
    <w:rsid w:val="00915E4B"/>
    <w:rsid w:val="00916842"/>
    <w:rsid w:val="0091782E"/>
    <w:rsid w:val="00917C2B"/>
    <w:rsid w:val="00922F28"/>
    <w:rsid w:val="009245CB"/>
    <w:rsid w:val="00927392"/>
    <w:rsid w:val="00927F01"/>
    <w:rsid w:val="00930590"/>
    <w:rsid w:val="009321E1"/>
    <w:rsid w:val="009324D8"/>
    <w:rsid w:val="009343EC"/>
    <w:rsid w:val="00936CB7"/>
    <w:rsid w:val="00936F6C"/>
    <w:rsid w:val="00937848"/>
    <w:rsid w:val="00940EB3"/>
    <w:rsid w:val="009412A9"/>
    <w:rsid w:val="009419AA"/>
    <w:rsid w:val="009457B3"/>
    <w:rsid w:val="00946975"/>
    <w:rsid w:val="0094793A"/>
    <w:rsid w:val="0095078F"/>
    <w:rsid w:val="009508B4"/>
    <w:rsid w:val="009509EB"/>
    <w:rsid w:val="00951707"/>
    <w:rsid w:val="00953A83"/>
    <w:rsid w:val="009558D4"/>
    <w:rsid w:val="009605D5"/>
    <w:rsid w:val="00960E88"/>
    <w:rsid w:val="00961A03"/>
    <w:rsid w:val="00962BC7"/>
    <w:rsid w:val="00964716"/>
    <w:rsid w:val="00964A91"/>
    <w:rsid w:val="00967306"/>
    <w:rsid w:val="0097087C"/>
    <w:rsid w:val="00970C70"/>
    <w:rsid w:val="00971BED"/>
    <w:rsid w:val="009726FA"/>
    <w:rsid w:val="00972BAC"/>
    <w:rsid w:val="00975452"/>
    <w:rsid w:val="00975837"/>
    <w:rsid w:val="00975987"/>
    <w:rsid w:val="00975F5B"/>
    <w:rsid w:val="00976BF3"/>
    <w:rsid w:val="00976C76"/>
    <w:rsid w:val="009777AA"/>
    <w:rsid w:val="00980C53"/>
    <w:rsid w:val="00982820"/>
    <w:rsid w:val="00984802"/>
    <w:rsid w:val="009873B7"/>
    <w:rsid w:val="009906BB"/>
    <w:rsid w:val="00992B55"/>
    <w:rsid w:val="00995BDC"/>
    <w:rsid w:val="009A08F6"/>
    <w:rsid w:val="009A2364"/>
    <w:rsid w:val="009A2C31"/>
    <w:rsid w:val="009A3A35"/>
    <w:rsid w:val="009A6249"/>
    <w:rsid w:val="009B2451"/>
    <w:rsid w:val="009B4FB1"/>
    <w:rsid w:val="009B5E9C"/>
    <w:rsid w:val="009B667F"/>
    <w:rsid w:val="009B6958"/>
    <w:rsid w:val="009C06CD"/>
    <w:rsid w:val="009C1AA1"/>
    <w:rsid w:val="009C223E"/>
    <w:rsid w:val="009C2BCF"/>
    <w:rsid w:val="009C3093"/>
    <w:rsid w:val="009C4581"/>
    <w:rsid w:val="009C4ACB"/>
    <w:rsid w:val="009D0339"/>
    <w:rsid w:val="009D3011"/>
    <w:rsid w:val="009D4550"/>
    <w:rsid w:val="009D59C5"/>
    <w:rsid w:val="009E0025"/>
    <w:rsid w:val="009E21FD"/>
    <w:rsid w:val="009E30D7"/>
    <w:rsid w:val="009E3517"/>
    <w:rsid w:val="009E5E07"/>
    <w:rsid w:val="009E6A42"/>
    <w:rsid w:val="009E6F2C"/>
    <w:rsid w:val="009E7DCB"/>
    <w:rsid w:val="009F505F"/>
    <w:rsid w:val="009F5E23"/>
    <w:rsid w:val="009F6DDE"/>
    <w:rsid w:val="009F7E6F"/>
    <w:rsid w:val="00A030A3"/>
    <w:rsid w:val="00A0325A"/>
    <w:rsid w:val="00A05EAD"/>
    <w:rsid w:val="00A114EC"/>
    <w:rsid w:val="00A118CC"/>
    <w:rsid w:val="00A123D4"/>
    <w:rsid w:val="00A1396B"/>
    <w:rsid w:val="00A14628"/>
    <w:rsid w:val="00A15525"/>
    <w:rsid w:val="00A15766"/>
    <w:rsid w:val="00A15969"/>
    <w:rsid w:val="00A16611"/>
    <w:rsid w:val="00A20584"/>
    <w:rsid w:val="00A24FEF"/>
    <w:rsid w:val="00A25661"/>
    <w:rsid w:val="00A2685F"/>
    <w:rsid w:val="00A30C11"/>
    <w:rsid w:val="00A3420D"/>
    <w:rsid w:val="00A3706C"/>
    <w:rsid w:val="00A40F0E"/>
    <w:rsid w:val="00A41E3B"/>
    <w:rsid w:val="00A504E2"/>
    <w:rsid w:val="00A50556"/>
    <w:rsid w:val="00A52196"/>
    <w:rsid w:val="00A52C88"/>
    <w:rsid w:val="00A57D41"/>
    <w:rsid w:val="00A63357"/>
    <w:rsid w:val="00A64251"/>
    <w:rsid w:val="00A64B2E"/>
    <w:rsid w:val="00A676D2"/>
    <w:rsid w:val="00A703C0"/>
    <w:rsid w:val="00A7285D"/>
    <w:rsid w:val="00A72DE6"/>
    <w:rsid w:val="00A73CF8"/>
    <w:rsid w:val="00A73D93"/>
    <w:rsid w:val="00A82EB6"/>
    <w:rsid w:val="00A83150"/>
    <w:rsid w:val="00A84F11"/>
    <w:rsid w:val="00A85B89"/>
    <w:rsid w:val="00A85C10"/>
    <w:rsid w:val="00A9031F"/>
    <w:rsid w:val="00A90C9C"/>
    <w:rsid w:val="00A9245F"/>
    <w:rsid w:val="00A93264"/>
    <w:rsid w:val="00A96D9F"/>
    <w:rsid w:val="00A97062"/>
    <w:rsid w:val="00AA0A51"/>
    <w:rsid w:val="00AA1EB0"/>
    <w:rsid w:val="00AA3C16"/>
    <w:rsid w:val="00AA41D1"/>
    <w:rsid w:val="00AA560F"/>
    <w:rsid w:val="00AB12B7"/>
    <w:rsid w:val="00AB3779"/>
    <w:rsid w:val="00AB4732"/>
    <w:rsid w:val="00AC4378"/>
    <w:rsid w:val="00AD48F8"/>
    <w:rsid w:val="00AD4E3F"/>
    <w:rsid w:val="00AD4F43"/>
    <w:rsid w:val="00AD5FB9"/>
    <w:rsid w:val="00AD6BE5"/>
    <w:rsid w:val="00AD7568"/>
    <w:rsid w:val="00AD765F"/>
    <w:rsid w:val="00AE09CB"/>
    <w:rsid w:val="00AE0ECF"/>
    <w:rsid w:val="00AE2445"/>
    <w:rsid w:val="00AE72C6"/>
    <w:rsid w:val="00AE76C6"/>
    <w:rsid w:val="00AF0BB3"/>
    <w:rsid w:val="00AF1268"/>
    <w:rsid w:val="00AF1855"/>
    <w:rsid w:val="00AF4E4A"/>
    <w:rsid w:val="00AF4E5E"/>
    <w:rsid w:val="00AF6FFD"/>
    <w:rsid w:val="00AF735F"/>
    <w:rsid w:val="00B00AB4"/>
    <w:rsid w:val="00B01053"/>
    <w:rsid w:val="00B01E68"/>
    <w:rsid w:val="00B02679"/>
    <w:rsid w:val="00B040DF"/>
    <w:rsid w:val="00B04E4F"/>
    <w:rsid w:val="00B102F7"/>
    <w:rsid w:val="00B109CB"/>
    <w:rsid w:val="00B125E6"/>
    <w:rsid w:val="00B145B0"/>
    <w:rsid w:val="00B17202"/>
    <w:rsid w:val="00B17BCD"/>
    <w:rsid w:val="00B217A3"/>
    <w:rsid w:val="00B21CA5"/>
    <w:rsid w:val="00B223B5"/>
    <w:rsid w:val="00B227EC"/>
    <w:rsid w:val="00B26549"/>
    <w:rsid w:val="00B2708B"/>
    <w:rsid w:val="00B306C9"/>
    <w:rsid w:val="00B30E0F"/>
    <w:rsid w:val="00B3166D"/>
    <w:rsid w:val="00B322BF"/>
    <w:rsid w:val="00B334FD"/>
    <w:rsid w:val="00B35A2A"/>
    <w:rsid w:val="00B36E60"/>
    <w:rsid w:val="00B42B1E"/>
    <w:rsid w:val="00B44426"/>
    <w:rsid w:val="00B459BC"/>
    <w:rsid w:val="00B45B65"/>
    <w:rsid w:val="00B465E5"/>
    <w:rsid w:val="00B50878"/>
    <w:rsid w:val="00B55C51"/>
    <w:rsid w:val="00B56239"/>
    <w:rsid w:val="00B56E34"/>
    <w:rsid w:val="00B57D3D"/>
    <w:rsid w:val="00B62FEE"/>
    <w:rsid w:val="00B6365A"/>
    <w:rsid w:val="00B65DE0"/>
    <w:rsid w:val="00B706A2"/>
    <w:rsid w:val="00B708DD"/>
    <w:rsid w:val="00B7438D"/>
    <w:rsid w:val="00B747A3"/>
    <w:rsid w:val="00B76B11"/>
    <w:rsid w:val="00B81489"/>
    <w:rsid w:val="00B8167A"/>
    <w:rsid w:val="00B82066"/>
    <w:rsid w:val="00B850FA"/>
    <w:rsid w:val="00B863F8"/>
    <w:rsid w:val="00B86BB3"/>
    <w:rsid w:val="00B8717A"/>
    <w:rsid w:val="00B90059"/>
    <w:rsid w:val="00B95375"/>
    <w:rsid w:val="00B97678"/>
    <w:rsid w:val="00BA2982"/>
    <w:rsid w:val="00BA5865"/>
    <w:rsid w:val="00BA6BE2"/>
    <w:rsid w:val="00BA6F84"/>
    <w:rsid w:val="00BA75A4"/>
    <w:rsid w:val="00BB08C8"/>
    <w:rsid w:val="00BC04AE"/>
    <w:rsid w:val="00BC2717"/>
    <w:rsid w:val="00BC2AAE"/>
    <w:rsid w:val="00BC31DD"/>
    <w:rsid w:val="00BC5EBB"/>
    <w:rsid w:val="00BE0D65"/>
    <w:rsid w:val="00BE1CC3"/>
    <w:rsid w:val="00BE21CA"/>
    <w:rsid w:val="00BE5ED7"/>
    <w:rsid w:val="00BF015F"/>
    <w:rsid w:val="00BF04EF"/>
    <w:rsid w:val="00BF113B"/>
    <w:rsid w:val="00BF2D21"/>
    <w:rsid w:val="00BF3B0C"/>
    <w:rsid w:val="00BF4617"/>
    <w:rsid w:val="00BF5D1D"/>
    <w:rsid w:val="00C01A07"/>
    <w:rsid w:val="00C01DBD"/>
    <w:rsid w:val="00C039B8"/>
    <w:rsid w:val="00C062BC"/>
    <w:rsid w:val="00C06997"/>
    <w:rsid w:val="00C11BAE"/>
    <w:rsid w:val="00C15CBB"/>
    <w:rsid w:val="00C15EAA"/>
    <w:rsid w:val="00C2242F"/>
    <w:rsid w:val="00C22462"/>
    <w:rsid w:val="00C22CA4"/>
    <w:rsid w:val="00C249AF"/>
    <w:rsid w:val="00C304E5"/>
    <w:rsid w:val="00C32A7A"/>
    <w:rsid w:val="00C34BDE"/>
    <w:rsid w:val="00C36D04"/>
    <w:rsid w:val="00C42AF0"/>
    <w:rsid w:val="00C431DC"/>
    <w:rsid w:val="00C43C6F"/>
    <w:rsid w:val="00C4487F"/>
    <w:rsid w:val="00C4543C"/>
    <w:rsid w:val="00C512BF"/>
    <w:rsid w:val="00C51CAA"/>
    <w:rsid w:val="00C52C23"/>
    <w:rsid w:val="00C53A84"/>
    <w:rsid w:val="00C55B5F"/>
    <w:rsid w:val="00C577AD"/>
    <w:rsid w:val="00C647A5"/>
    <w:rsid w:val="00C6510D"/>
    <w:rsid w:val="00C677D4"/>
    <w:rsid w:val="00C726A4"/>
    <w:rsid w:val="00C72C2B"/>
    <w:rsid w:val="00C77BD2"/>
    <w:rsid w:val="00C82775"/>
    <w:rsid w:val="00C846F6"/>
    <w:rsid w:val="00C84887"/>
    <w:rsid w:val="00C913E5"/>
    <w:rsid w:val="00C93051"/>
    <w:rsid w:val="00C9420A"/>
    <w:rsid w:val="00C95162"/>
    <w:rsid w:val="00CA0BB1"/>
    <w:rsid w:val="00CA412C"/>
    <w:rsid w:val="00CA4154"/>
    <w:rsid w:val="00CA41AD"/>
    <w:rsid w:val="00CB2775"/>
    <w:rsid w:val="00CB5DA4"/>
    <w:rsid w:val="00CC1BB8"/>
    <w:rsid w:val="00CC21EF"/>
    <w:rsid w:val="00CC22CD"/>
    <w:rsid w:val="00CC2AD0"/>
    <w:rsid w:val="00CC481D"/>
    <w:rsid w:val="00CC5FD8"/>
    <w:rsid w:val="00CD28A2"/>
    <w:rsid w:val="00CD52AE"/>
    <w:rsid w:val="00CD6218"/>
    <w:rsid w:val="00CD6573"/>
    <w:rsid w:val="00CD7170"/>
    <w:rsid w:val="00CD718B"/>
    <w:rsid w:val="00CE10EA"/>
    <w:rsid w:val="00CE3246"/>
    <w:rsid w:val="00CE44B3"/>
    <w:rsid w:val="00CE4CC3"/>
    <w:rsid w:val="00CE5033"/>
    <w:rsid w:val="00CE51B3"/>
    <w:rsid w:val="00CE5AA4"/>
    <w:rsid w:val="00CE5CA3"/>
    <w:rsid w:val="00CE7304"/>
    <w:rsid w:val="00CE7BA0"/>
    <w:rsid w:val="00CF10A4"/>
    <w:rsid w:val="00CF2792"/>
    <w:rsid w:val="00CF616B"/>
    <w:rsid w:val="00D03D74"/>
    <w:rsid w:val="00D07031"/>
    <w:rsid w:val="00D11289"/>
    <w:rsid w:val="00D11656"/>
    <w:rsid w:val="00D12744"/>
    <w:rsid w:val="00D173E9"/>
    <w:rsid w:val="00D25FAF"/>
    <w:rsid w:val="00D26F8B"/>
    <w:rsid w:val="00D30795"/>
    <w:rsid w:val="00D311F8"/>
    <w:rsid w:val="00D32F74"/>
    <w:rsid w:val="00D33B23"/>
    <w:rsid w:val="00D34071"/>
    <w:rsid w:val="00D34CC3"/>
    <w:rsid w:val="00D37A32"/>
    <w:rsid w:val="00D45434"/>
    <w:rsid w:val="00D45546"/>
    <w:rsid w:val="00D4695B"/>
    <w:rsid w:val="00D472A8"/>
    <w:rsid w:val="00D47D81"/>
    <w:rsid w:val="00D50687"/>
    <w:rsid w:val="00D51C00"/>
    <w:rsid w:val="00D5376E"/>
    <w:rsid w:val="00D54E00"/>
    <w:rsid w:val="00D56C08"/>
    <w:rsid w:val="00D60193"/>
    <w:rsid w:val="00D608BB"/>
    <w:rsid w:val="00D609C3"/>
    <w:rsid w:val="00D63180"/>
    <w:rsid w:val="00D63CE4"/>
    <w:rsid w:val="00D653A2"/>
    <w:rsid w:val="00D672C8"/>
    <w:rsid w:val="00D67C4E"/>
    <w:rsid w:val="00D76EB0"/>
    <w:rsid w:val="00D81123"/>
    <w:rsid w:val="00D81F8E"/>
    <w:rsid w:val="00D85298"/>
    <w:rsid w:val="00D857BE"/>
    <w:rsid w:val="00D85F59"/>
    <w:rsid w:val="00D92ED7"/>
    <w:rsid w:val="00D96AF3"/>
    <w:rsid w:val="00DA368F"/>
    <w:rsid w:val="00DA5D49"/>
    <w:rsid w:val="00DA5E3A"/>
    <w:rsid w:val="00DA6DF7"/>
    <w:rsid w:val="00DA7A34"/>
    <w:rsid w:val="00DB059F"/>
    <w:rsid w:val="00DB1257"/>
    <w:rsid w:val="00DB1DD9"/>
    <w:rsid w:val="00DB3D15"/>
    <w:rsid w:val="00DB6017"/>
    <w:rsid w:val="00DB6FCE"/>
    <w:rsid w:val="00DB7615"/>
    <w:rsid w:val="00DC1B3B"/>
    <w:rsid w:val="00DC3B74"/>
    <w:rsid w:val="00DC40F0"/>
    <w:rsid w:val="00DC42D8"/>
    <w:rsid w:val="00DC51DF"/>
    <w:rsid w:val="00DC553C"/>
    <w:rsid w:val="00DC765A"/>
    <w:rsid w:val="00DD12EF"/>
    <w:rsid w:val="00DD3280"/>
    <w:rsid w:val="00DD37B7"/>
    <w:rsid w:val="00DD73F2"/>
    <w:rsid w:val="00DE0D59"/>
    <w:rsid w:val="00DE2965"/>
    <w:rsid w:val="00DE52E1"/>
    <w:rsid w:val="00DE5471"/>
    <w:rsid w:val="00DE6A55"/>
    <w:rsid w:val="00DE6DB3"/>
    <w:rsid w:val="00DF051E"/>
    <w:rsid w:val="00DF242F"/>
    <w:rsid w:val="00DF2F1C"/>
    <w:rsid w:val="00DF3CE1"/>
    <w:rsid w:val="00DF6A7E"/>
    <w:rsid w:val="00E01BA9"/>
    <w:rsid w:val="00E01DC4"/>
    <w:rsid w:val="00E02067"/>
    <w:rsid w:val="00E05604"/>
    <w:rsid w:val="00E117AB"/>
    <w:rsid w:val="00E11D13"/>
    <w:rsid w:val="00E142CB"/>
    <w:rsid w:val="00E1467F"/>
    <w:rsid w:val="00E14849"/>
    <w:rsid w:val="00E15F49"/>
    <w:rsid w:val="00E1627E"/>
    <w:rsid w:val="00E21320"/>
    <w:rsid w:val="00E21BB5"/>
    <w:rsid w:val="00E25D92"/>
    <w:rsid w:val="00E27654"/>
    <w:rsid w:val="00E32DEA"/>
    <w:rsid w:val="00E33C12"/>
    <w:rsid w:val="00E34E3E"/>
    <w:rsid w:val="00E36940"/>
    <w:rsid w:val="00E426B4"/>
    <w:rsid w:val="00E43755"/>
    <w:rsid w:val="00E46C7F"/>
    <w:rsid w:val="00E506BF"/>
    <w:rsid w:val="00E51A1F"/>
    <w:rsid w:val="00E528AE"/>
    <w:rsid w:val="00E530D1"/>
    <w:rsid w:val="00E53E92"/>
    <w:rsid w:val="00E60273"/>
    <w:rsid w:val="00E60297"/>
    <w:rsid w:val="00E64BAC"/>
    <w:rsid w:val="00E65344"/>
    <w:rsid w:val="00E65721"/>
    <w:rsid w:val="00E65F7C"/>
    <w:rsid w:val="00E667D6"/>
    <w:rsid w:val="00E66941"/>
    <w:rsid w:val="00E70A90"/>
    <w:rsid w:val="00E72577"/>
    <w:rsid w:val="00E746E5"/>
    <w:rsid w:val="00E74ECE"/>
    <w:rsid w:val="00E8609C"/>
    <w:rsid w:val="00E90ADB"/>
    <w:rsid w:val="00E946D9"/>
    <w:rsid w:val="00E9546C"/>
    <w:rsid w:val="00E95B98"/>
    <w:rsid w:val="00E95EBB"/>
    <w:rsid w:val="00E962A0"/>
    <w:rsid w:val="00EA117B"/>
    <w:rsid w:val="00EA11EB"/>
    <w:rsid w:val="00EA23AB"/>
    <w:rsid w:val="00EA4CEA"/>
    <w:rsid w:val="00EA536A"/>
    <w:rsid w:val="00EA5B38"/>
    <w:rsid w:val="00EA72A4"/>
    <w:rsid w:val="00EA7805"/>
    <w:rsid w:val="00EA7DA6"/>
    <w:rsid w:val="00EB00EE"/>
    <w:rsid w:val="00EB03E8"/>
    <w:rsid w:val="00EB3C0C"/>
    <w:rsid w:val="00EB48AC"/>
    <w:rsid w:val="00EC16AE"/>
    <w:rsid w:val="00EC2566"/>
    <w:rsid w:val="00EC3734"/>
    <w:rsid w:val="00EC7650"/>
    <w:rsid w:val="00EC7E45"/>
    <w:rsid w:val="00ED57BC"/>
    <w:rsid w:val="00ED7C94"/>
    <w:rsid w:val="00EE05F2"/>
    <w:rsid w:val="00EE0C79"/>
    <w:rsid w:val="00EE2A0E"/>
    <w:rsid w:val="00EE4629"/>
    <w:rsid w:val="00EE69BD"/>
    <w:rsid w:val="00EF0E62"/>
    <w:rsid w:val="00EF1297"/>
    <w:rsid w:val="00EF25DC"/>
    <w:rsid w:val="00EF28F6"/>
    <w:rsid w:val="00EF5173"/>
    <w:rsid w:val="00EF533F"/>
    <w:rsid w:val="00F006BF"/>
    <w:rsid w:val="00F0210B"/>
    <w:rsid w:val="00F07467"/>
    <w:rsid w:val="00F074A1"/>
    <w:rsid w:val="00F11105"/>
    <w:rsid w:val="00F13F87"/>
    <w:rsid w:val="00F14CFC"/>
    <w:rsid w:val="00F224F3"/>
    <w:rsid w:val="00F22ED2"/>
    <w:rsid w:val="00F23C1B"/>
    <w:rsid w:val="00F278EA"/>
    <w:rsid w:val="00F30F4B"/>
    <w:rsid w:val="00F31AA9"/>
    <w:rsid w:val="00F32CE8"/>
    <w:rsid w:val="00F33361"/>
    <w:rsid w:val="00F353F9"/>
    <w:rsid w:val="00F37E2B"/>
    <w:rsid w:val="00F4006C"/>
    <w:rsid w:val="00F44CEE"/>
    <w:rsid w:val="00F45D72"/>
    <w:rsid w:val="00F47BCE"/>
    <w:rsid w:val="00F47D5E"/>
    <w:rsid w:val="00F51236"/>
    <w:rsid w:val="00F53591"/>
    <w:rsid w:val="00F60C75"/>
    <w:rsid w:val="00F60EB3"/>
    <w:rsid w:val="00F62BBB"/>
    <w:rsid w:val="00F6614B"/>
    <w:rsid w:val="00F6700C"/>
    <w:rsid w:val="00F676A4"/>
    <w:rsid w:val="00F700AE"/>
    <w:rsid w:val="00F70B2B"/>
    <w:rsid w:val="00F73245"/>
    <w:rsid w:val="00F73EC6"/>
    <w:rsid w:val="00F75B28"/>
    <w:rsid w:val="00F76964"/>
    <w:rsid w:val="00F80FB3"/>
    <w:rsid w:val="00F818A1"/>
    <w:rsid w:val="00F81AC0"/>
    <w:rsid w:val="00F8269B"/>
    <w:rsid w:val="00F840B1"/>
    <w:rsid w:val="00F85122"/>
    <w:rsid w:val="00F85172"/>
    <w:rsid w:val="00F93AF3"/>
    <w:rsid w:val="00F940E1"/>
    <w:rsid w:val="00FA01A8"/>
    <w:rsid w:val="00FA3C3A"/>
    <w:rsid w:val="00FA5649"/>
    <w:rsid w:val="00FA79E9"/>
    <w:rsid w:val="00FB4545"/>
    <w:rsid w:val="00FB5B74"/>
    <w:rsid w:val="00FC1AC1"/>
    <w:rsid w:val="00FC3673"/>
    <w:rsid w:val="00FC65FB"/>
    <w:rsid w:val="00FC706A"/>
    <w:rsid w:val="00FD0636"/>
    <w:rsid w:val="00FD0E6D"/>
    <w:rsid w:val="00FD11BB"/>
    <w:rsid w:val="00FD133B"/>
    <w:rsid w:val="00FD431E"/>
    <w:rsid w:val="00FD7970"/>
    <w:rsid w:val="00FE0AF6"/>
    <w:rsid w:val="00FE268F"/>
    <w:rsid w:val="00FE432E"/>
    <w:rsid w:val="00FE5B42"/>
    <w:rsid w:val="00FE5E50"/>
    <w:rsid w:val="00FE63D4"/>
    <w:rsid w:val="00FE73C5"/>
    <w:rsid w:val="00FF3366"/>
    <w:rsid w:val="00FF3CCC"/>
    <w:rsid w:val="00FF49D3"/>
    <w:rsid w:val="45584AE4"/>
    <w:rsid w:val="7A78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3"/>
    <w:rPr>
      <w:rFonts w:ascii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025D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5DD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5D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25DD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25DD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5D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25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025DD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4"/>
    <w:uiPriority w:val="10"/>
    <w:qFormat/>
    <w:rsid w:val="00025DD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Strong"/>
    <w:basedOn w:val="a0"/>
    <w:uiPriority w:val="22"/>
    <w:qFormat/>
    <w:rsid w:val="00025DD3"/>
    <w:rPr>
      <w:b/>
      <w:bCs/>
    </w:rPr>
  </w:style>
  <w:style w:type="character" w:styleId="aa">
    <w:name w:val="Emphasis"/>
    <w:basedOn w:val="a0"/>
    <w:uiPriority w:val="20"/>
    <w:qFormat/>
    <w:rsid w:val="00025DD3"/>
    <w:rPr>
      <w:i/>
      <w:iCs/>
    </w:rPr>
  </w:style>
  <w:style w:type="table" w:styleId="ab">
    <w:name w:val="Table Grid"/>
    <w:basedOn w:val="a1"/>
    <w:uiPriority w:val="59"/>
    <w:rsid w:val="00025DD3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sid w:val="00025DD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5DD3"/>
    <w:rPr>
      <w:sz w:val="18"/>
      <w:szCs w:val="18"/>
    </w:rPr>
  </w:style>
  <w:style w:type="paragraph" w:styleId="ac">
    <w:name w:val="List Paragraph"/>
    <w:basedOn w:val="a"/>
    <w:uiPriority w:val="34"/>
    <w:qFormat/>
    <w:rsid w:val="00025DD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025DD3"/>
    <w:rPr>
      <w:rFonts w:ascii="Calibri" w:hAnsi="Calibri" w:cs="Arial"/>
      <w:kern w:val="0"/>
      <w:sz w:val="18"/>
      <w:szCs w:val="18"/>
    </w:rPr>
  </w:style>
  <w:style w:type="character" w:customStyle="1" w:styleId="Char4">
    <w:name w:val="标题 Char"/>
    <w:basedOn w:val="a0"/>
    <w:link w:val="a8"/>
    <w:uiPriority w:val="10"/>
    <w:rsid w:val="00025DD3"/>
    <w:rPr>
      <w:rFonts w:asciiTheme="majorHAnsi" w:eastAsia="宋体" w:hAnsiTheme="majorHAnsi" w:cstheme="majorBidi"/>
      <w:b/>
      <w:bCs/>
      <w:kern w:val="0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25DD3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Char3">
    <w:name w:val="副标题 Char"/>
    <w:basedOn w:val="a0"/>
    <w:link w:val="a7"/>
    <w:uiPriority w:val="11"/>
    <w:rsid w:val="00025DD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No Spacing"/>
    <w:uiPriority w:val="1"/>
    <w:qFormat/>
    <w:rsid w:val="00025DD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10">
    <w:name w:val="不明显强调1"/>
    <w:basedOn w:val="a0"/>
    <w:uiPriority w:val="19"/>
    <w:qFormat/>
    <w:rsid w:val="00025DD3"/>
    <w:rPr>
      <w:i/>
      <w:iCs/>
      <w:color w:val="808080" w:themeColor="text1" w:themeTint="7F"/>
    </w:rPr>
  </w:style>
  <w:style w:type="paragraph" w:styleId="ae">
    <w:name w:val="Quote"/>
    <w:basedOn w:val="a"/>
    <w:next w:val="a"/>
    <w:link w:val="Char5"/>
    <w:uiPriority w:val="29"/>
    <w:qFormat/>
    <w:rsid w:val="00025DD3"/>
    <w:rPr>
      <w:i/>
      <w:iCs/>
      <w:color w:val="000000" w:themeColor="text1"/>
    </w:rPr>
  </w:style>
  <w:style w:type="character" w:customStyle="1" w:styleId="Char5">
    <w:name w:val="引用 Char"/>
    <w:basedOn w:val="a0"/>
    <w:link w:val="ae"/>
    <w:uiPriority w:val="29"/>
    <w:rsid w:val="00025DD3"/>
    <w:rPr>
      <w:rFonts w:ascii="Calibri" w:hAnsi="Calibri" w:cs="Arial"/>
      <w:i/>
      <w:iCs/>
      <w:color w:val="000000" w:themeColor="text1"/>
      <w:kern w:val="0"/>
      <w:sz w:val="20"/>
      <w:szCs w:val="20"/>
    </w:rPr>
  </w:style>
  <w:style w:type="character" w:customStyle="1" w:styleId="11">
    <w:name w:val="明显强调1"/>
    <w:basedOn w:val="a0"/>
    <w:uiPriority w:val="21"/>
    <w:qFormat/>
    <w:rsid w:val="00025DD3"/>
    <w:rPr>
      <w:b/>
      <w:bCs/>
      <w:i/>
      <w:iCs/>
      <w:color w:val="4F81BD" w:themeColor="accent1"/>
    </w:rPr>
  </w:style>
  <w:style w:type="character" w:customStyle="1" w:styleId="1Char">
    <w:name w:val="标题 1 Char"/>
    <w:basedOn w:val="a0"/>
    <w:link w:val="1"/>
    <w:uiPriority w:val="9"/>
    <w:rsid w:val="00025DD3"/>
    <w:rPr>
      <w:rFonts w:ascii="Calibri" w:hAnsi="Calibri" w:cs="Arial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25DD3"/>
    <w:rPr>
      <w:rFonts w:ascii="Calibri" w:hAnsi="Calibri" w:cs="Arial"/>
      <w:b/>
      <w:bCs/>
      <w:kern w:val="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sid w:val="00025DD3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6700;&#38754;2023.6.27\&#21704;&#21704;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6700;&#38754;2023.6.27\&#21704;&#21704;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6700;&#38754;2023.6.27\&#21704;&#21704;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6700;&#38754;2023.6.27\&#21704;&#21704;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26700;&#38754;2023.6.27\&#21704;&#21704;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/>
    <c:plotArea>
      <c:layout/>
      <c:barChart>
        <c:barDir val="col"/>
        <c:grouping val="stacked"/>
        <c:ser>
          <c:idx val="2"/>
          <c:order val="2"/>
          <c:tx>
            <c:strRef>
              <c:f>Sheet1!$B$15</c:f>
            </c:strRef>
          </c:tx>
          <c:dLbls>
            <c:showVal val="1"/>
          </c:dLbls>
          <c:cat>
            <c:multiLvlStrRef>
              <c:f>Sheet1!$A$16:$A$19</c:f>
            </c:multiLvlStrRef>
          </c:cat>
          <c:val>
            <c:numRef>
              <c:f>Sheet1!$B$16:$B$19</c:f>
            </c:numRef>
          </c:val>
        </c:ser>
        <c:ser>
          <c:idx val="3"/>
          <c:order val="3"/>
          <c:tx>
            <c:strRef>
              <c:f>Sheet1!$C$15</c:f>
            </c:strRef>
          </c:tx>
          <c:dLbls>
            <c:showVal val="1"/>
          </c:dLbls>
          <c:cat>
            <c:multiLvlStrRef>
              <c:f>Sheet1!$A$16:$A$19</c:f>
            </c:multiLvlStrRef>
          </c:cat>
          <c:val>
            <c:numRef>
              <c:f>Sheet1!$C$16:$C$19</c:f>
            </c:numRef>
          </c:val>
        </c:ser>
        <c:ser>
          <c:idx val="0"/>
          <c:order val="0"/>
          <c:tx>
            <c:strRef>
              <c:f>'[哈哈(1).xlsx]Sheet1'!$B$15</c:f>
              <c:strCache>
                <c:ptCount val="1"/>
                <c:pt idx="0">
                  <c:v>数量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1103480620157986E-2"/>
                </c:manualLayout>
              </c:layout>
              <c:showVal val="1"/>
            </c:dLbl>
            <c:dLbl>
              <c:idx val="1"/>
              <c:layout>
                <c:manualLayout>
                  <c:x val="4.3145138772547045E-3"/>
                  <c:y val="-0.27980524558681702"/>
                </c:manualLayout>
              </c:layout>
              <c:showVal val="1"/>
            </c:dLbl>
            <c:dLbl>
              <c:idx val="2"/>
              <c:layout>
                <c:manualLayout>
                  <c:x val="-2.0095493382476202E-3"/>
                  <c:y val="-0.24442429855191225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7.268882399799842E-2"/>
                </c:manualLayout>
              </c:layout>
              <c:showVal val="1"/>
            </c:dLbl>
            <c:showVal val="1"/>
          </c:dLbls>
          <c:cat>
            <c:strRef>
              <c:f>'[哈哈(1).xlsx]Sheet1'!$A$16:$A$19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'[哈哈(1).xlsx]Sheet1'!$B$16:$B$19</c:f>
              <c:numCache>
                <c:formatCode>General</c:formatCode>
                <c:ptCount val="4"/>
                <c:pt idx="0">
                  <c:v>768</c:v>
                </c:pt>
                <c:pt idx="1">
                  <c:v>6133</c:v>
                </c:pt>
                <c:pt idx="2">
                  <c:v>6217</c:v>
                </c:pt>
                <c:pt idx="3">
                  <c:v>684</c:v>
                </c:pt>
              </c:numCache>
            </c:numRef>
          </c:val>
        </c:ser>
        <c:dLbls>
          <c:showVal val="1"/>
        </c:dLbls>
        <c:gapWidth val="75"/>
        <c:overlap val="100"/>
        <c:axId val="73014656"/>
        <c:axId val="115833088"/>
      </c:barChart>
      <c:lineChart>
        <c:grouping val="standard"/>
        <c:ser>
          <c:idx val="1"/>
          <c:order val="1"/>
          <c:tx>
            <c:strRef>
              <c:f>'[哈哈(1).xlsx]Sheet1'!$C$15</c:f>
              <c:strCache>
                <c:ptCount val="1"/>
                <c:pt idx="0">
                  <c:v>同比</c:v>
                </c:pt>
              </c:strCache>
            </c:strRef>
          </c:tx>
          <c:dLbls>
            <c:dLbl>
              <c:idx val="0"/>
              <c:layout>
                <c:manualLayout>
                  <c:x val="-8.1560283687943269E-2"/>
                  <c:y val="-5.8394138209422713E-2"/>
                </c:manualLayout>
              </c:layout>
              <c:showVal val="1"/>
            </c:dLbl>
            <c:dLbl>
              <c:idx val="1"/>
              <c:layout>
                <c:manualLayout>
                  <c:x val="-3.9007092198581582E-2"/>
                  <c:y val="3.8929425472948448E-2"/>
                </c:manualLayout>
              </c:layout>
              <c:showVal val="1"/>
            </c:dLbl>
            <c:dLbl>
              <c:idx val="2"/>
              <c:layout>
                <c:manualLayout>
                  <c:x val="-8.8652482269504368E-2"/>
                  <c:y val="5.8394138209422713E-2"/>
                </c:manualLayout>
              </c:layout>
              <c:showVal val="1"/>
            </c:dLbl>
            <c:dLbl>
              <c:idx val="3"/>
              <c:layout>
                <c:manualLayout>
                  <c:x val="-9.2198581560283696E-2"/>
                  <c:y val="-6.3260316393541294E-2"/>
                </c:manualLayout>
              </c:layout>
              <c:showVal val="1"/>
            </c:dLbl>
            <c:showVal val="1"/>
          </c:dLbls>
          <c:cat>
            <c:strRef>
              <c:f>'[哈哈(1).xlsx]Sheet1'!$A$16:$A$19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'[哈哈(1).xlsx]Sheet1'!$C$16:$C$19</c:f>
              <c:numCache>
                <c:formatCode>0.00%</c:formatCode>
                <c:ptCount val="4"/>
                <c:pt idx="0">
                  <c:v>4.6300000000000001E-2</c:v>
                </c:pt>
                <c:pt idx="1">
                  <c:v>0.37300000000000111</c:v>
                </c:pt>
                <c:pt idx="2">
                  <c:v>0.41300000000000031</c:v>
                </c:pt>
                <c:pt idx="3">
                  <c:v>-0.14610000000000001</c:v>
                </c:pt>
              </c:numCache>
            </c:numRef>
          </c:val>
        </c:ser>
        <c:dLbls>
          <c:showVal val="1"/>
        </c:dLbls>
        <c:marker val="1"/>
        <c:axId val="115858048"/>
        <c:axId val="115855744"/>
      </c:lineChart>
      <c:catAx>
        <c:axId val="73014656"/>
        <c:scaling>
          <c:orientation val="minMax"/>
        </c:scaling>
        <c:axPos val="b"/>
        <c:majorTickMark val="none"/>
        <c:tickLblPos val="nextTo"/>
        <c:crossAx val="115833088"/>
        <c:crosses val="autoZero"/>
        <c:auto val="1"/>
        <c:lblAlgn val="ctr"/>
        <c:lblOffset val="100"/>
      </c:catAx>
      <c:valAx>
        <c:axId val="115833088"/>
        <c:scaling>
          <c:orientation val="minMax"/>
        </c:scaling>
        <c:axPos val="l"/>
        <c:numFmt formatCode="General" sourceLinked="1"/>
        <c:majorTickMark val="none"/>
        <c:tickLblPos val="nextTo"/>
        <c:crossAx val="73014656"/>
        <c:crosses val="autoZero"/>
        <c:crossBetween val="between"/>
      </c:valAx>
      <c:valAx>
        <c:axId val="115855744"/>
        <c:scaling>
          <c:orientation val="minMax"/>
        </c:scaling>
        <c:axPos val="r"/>
        <c:numFmt formatCode="0.00%" sourceLinked="1"/>
        <c:tickLblPos val="nextTo"/>
        <c:crossAx val="115858048"/>
        <c:crosses val="max"/>
        <c:crossBetween val="between"/>
      </c:valAx>
      <c:catAx>
        <c:axId val="115858048"/>
        <c:scaling>
          <c:orientation val="minMax"/>
        </c:scaling>
        <c:delete val="1"/>
        <c:axPos val="b"/>
        <c:tickLblPos val="nextTo"/>
        <c:crossAx val="115855744"/>
        <c:crosses val="autoZero"/>
        <c:auto val="1"/>
        <c:lblAlgn val="ctr"/>
        <c:lblOffset val="100"/>
      </c:cat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8689276203411706"/>
          <c:y val="3.0713669116433751E-2"/>
          <c:w val="0.79700854700854762"/>
          <c:h val="0.62292213473315861"/>
        </c:manualLayout>
      </c:layout>
      <c:barChart>
        <c:barDir val="col"/>
        <c:grouping val="percentStacked"/>
        <c:ser>
          <c:idx val="2"/>
          <c:order val="2"/>
          <c:tx>
            <c:strRef>
              <c:f>Sheet1!$D$2</c:f>
              <c:strCache>
                <c:ptCount val="1"/>
                <c:pt idx="0">
                  <c:v>执行</c:v>
                </c:pt>
              </c:strCache>
            </c:strRef>
          </c:tx>
          <c:cat>
            <c:strRef>
              <c:f>Sheet1!$A$3:$A$6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Sheet1!$D$3:$D$6</c:f>
              <c:numCache>
                <c:formatCode>General</c:formatCode>
                <c:ptCount val="4"/>
                <c:pt idx="0">
                  <c:v>102</c:v>
                </c:pt>
                <c:pt idx="1">
                  <c:v>2307</c:v>
                </c:pt>
                <c:pt idx="2">
                  <c:v>2247</c:v>
                </c:pt>
                <c:pt idx="3">
                  <c:v>162</c:v>
                </c:pt>
              </c:numCache>
            </c:numRef>
          </c:val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诉讼</c:v>
                </c:pt>
              </c:strCache>
            </c:strRef>
          </c:tx>
          <c:cat>
            <c:strRef>
              <c:f>Sheet1!$A$3:$A$6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Sheet1!$E$3:$E$6</c:f>
              <c:numCache>
                <c:formatCode>General</c:formatCode>
                <c:ptCount val="4"/>
                <c:pt idx="0">
                  <c:v>666</c:v>
                </c:pt>
                <c:pt idx="1">
                  <c:v>3826</c:v>
                </c:pt>
                <c:pt idx="2">
                  <c:v>3966</c:v>
                </c:pt>
                <c:pt idx="3">
                  <c:v>526</c:v>
                </c:pt>
              </c:numCache>
            </c:numRef>
          </c:val>
        </c:ser>
        <c:overlap val="100"/>
        <c:axId val="123037952"/>
        <c:axId val="260706688"/>
      </c:barChart>
      <c:lineChart>
        <c:grouping val="standard"/>
        <c:ser>
          <c:idx val="0"/>
          <c:order val="0"/>
          <c:tx>
            <c:strRef>
              <c:f>Sheet1!$B$2</c:f>
              <c:strCache>
                <c:ptCount val="1"/>
                <c:pt idx="0">
                  <c:v>执行同比</c:v>
                </c:pt>
              </c:strCache>
            </c:strRef>
          </c:tx>
          <c:cat>
            <c:strRef>
              <c:f>Sheet1!$A$3:$A$6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Sheet1!$B$3:$B$6</c:f>
              <c:numCache>
                <c:formatCode>0.00%</c:formatCode>
                <c:ptCount val="4"/>
                <c:pt idx="0">
                  <c:v>5.1499999999999997E-2</c:v>
                </c:pt>
                <c:pt idx="1">
                  <c:v>0.28670000000000001</c:v>
                </c:pt>
                <c:pt idx="2">
                  <c:v>0.27960000000000002</c:v>
                </c:pt>
                <c:pt idx="3">
                  <c:v>0.20900000000000021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诉讼同比</c:v>
                </c:pt>
              </c:strCache>
            </c:strRef>
          </c:tx>
          <c:cat>
            <c:strRef>
              <c:f>Sheet1!$A$3:$A$6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Sheet1!$C$3:$C$6</c:f>
              <c:numCache>
                <c:formatCode>0.00%</c:formatCode>
                <c:ptCount val="4"/>
                <c:pt idx="0">
                  <c:v>4.5500000000000013E-2</c:v>
                </c:pt>
                <c:pt idx="1">
                  <c:v>0.4308000000000014</c:v>
                </c:pt>
                <c:pt idx="2">
                  <c:v>0.5</c:v>
                </c:pt>
                <c:pt idx="3">
                  <c:v>-0.21140000000000062</c:v>
                </c:pt>
              </c:numCache>
            </c:numRef>
          </c:val>
        </c:ser>
        <c:marker val="1"/>
        <c:axId val="123037952"/>
        <c:axId val="260706688"/>
      </c:lineChart>
      <c:catAx>
        <c:axId val="123037952"/>
        <c:scaling>
          <c:orientation val="minMax"/>
        </c:scaling>
        <c:axPos val="b"/>
        <c:majorTickMark val="none"/>
        <c:tickLblPos val="nextTo"/>
        <c:crossAx val="260706688"/>
        <c:crosses val="autoZero"/>
        <c:auto val="1"/>
        <c:lblAlgn val="ctr"/>
        <c:lblOffset val="100"/>
      </c:catAx>
      <c:valAx>
        <c:axId val="260706688"/>
        <c:scaling>
          <c:orientation val="minMax"/>
        </c:scaling>
        <c:axPos val="l"/>
        <c:majorGridlines/>
        <c:numFmt formatCode="0.00%" sourceLinked="0"/>
        <c:majorTickMark val="none"/>
        <c:tickLblPos val="nextTo"/>
        <c:crossAx val="123037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>
                <a:latin typeface="黑体" pitchFamily="49" charset="-122"/>
                <a:ea typeface="黑体" pitchFamily="49" charset="-122"/>
              </a:defRPr>
            </a:pPr>
            <a:r>
              <a:rPr lang="en-US" altLang="zh-CN" sz="1400">
                <a:latin typeface="黑体" pitchFamily="49" charset="-122"/>
                <a:ea typeface="黑体" pitchFamily="49" charset="-122"/>
              </a:rPr>
              <a:t>2023</a:t>
            </a:r>
            <a:r>
              <a:rPr lang="zh-CN" altLang="en-US" sz="1400">
                <a:latin typeface="黑体" pitchFamily="49" charset="-122"/>
                <a:ea typeface="黑体" pitchFamily="49" charset="-122"/>
              </a:rPr>
              <a:t>年</a:t>
            </a:r>
            <a:r>
              <a:rPr lang="en-US" altLang="zh-CN" sz="1400">
                <a:latin typeface="黑体" pitchFamily="49" charset="-122"/>
                <a:ea typeface="黑体" pitchFamily="49" charset="-122"/>
              </a:rPr>
              <a:t>1-6</a:t>
            </a:r>
            <a:r>
              <a:rPr lang="zh-CN" altLang="en-US" sz="1400">
                <a:latin typeface="黑体" pitchFamily="49" charset="-122"/>
                <a:ea typeface="黑体" pitchFamily="49" charset="-122"/>
              </a:rPr>
              <a:t>月前郭法院各部门收结案情况图</a:t>
            </a:r>
            <a:endParaRPr lang="zh-CN" sz="1400">
              <a:latin typeface="黑体" pitchFamily="49" charset="-122"/>
              <a:ea typeface="黑体" pitchFamily="49" charset="-122"/>
            </a:endParaRPr>
          </a:p>
        </c:rich>
      </c:tx>
    </c:title>
    <c:view3D>
      <c:rotX val="20"/>
      <c:rotY val="30"/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Sheet1!$B$30</c:f>
              <c:strCache>
                <c:ptCount val="1"/>
                <c:pt idx="0">
                  <c:v>受案数</c:v>
                </c:pt>
              </c:strCache>
            </c:strRef>
          </c:tx>
          <c:cat>
            <c:strRef>
              <c:f>Sheet1!$A$31:$A$41</c:f>
              <c:strCache>
                <c:ptCount val="11"/>
                <c:pt idx="0">
                  <c:v>行政审判庭</c:v>
                </c:pt>
                <c:pt idx="1">
                  <c:v>民事审判第一庭</c:v>
                </c:pt>
                <c:pt idx="2">
                  <c:v>速裁审判庭</c:v>
                </c:pt>
                <c:pt idx="3">
                  <c:v>巡回法庭</c:v>
                </c:pt>
                <c:pt idx="4">
                  <c:v>长山人民法庭</c:v>
                </c:pt>
                <c:pt idx="5">
                  <c:v>乌兰图嘎人民法庭</c:v>
                </c:pt>
                <c:pt idx="6">
                  <c:v>民事审判第二庭</c:v>
                </c:pt>
                <c:pt idx="7">
                  <c:v>刑事审判庭</c:v>
                </c:pt>
                <c:pt idx="8">
                  <c:v>前郭人民法庭</c:v>
                </c:pt>
                <c:pt idx="9">
                  <c:v>诉讼服务中心</c:v>
                </c:pt>
                <c:pt idx="10">
                  <c:v>查干湖人民法庭</c:v>
                </c:pt>
              </c:strCache>
            </c:strRef>
          </c:cat>
          <c:val>
            <c:numRef>
              <c:f>Sheet1!$B$31:$B$41</c:f>
              <c:numCache>
                <c:formatCode>General</c:formatCode>
                <c:ptCount val="11"/>
                <c:pt idx="0">
                  <c:v>690</c:v>
                </c:pt>
                <c:pt idx="1">
                  <c:v>535</c:v>
                </c:pt>
                <c:pt idx="2">
                  <c:v>1028</c:v>
                </c:pt>
                <c:pt idx="3">
                  <c:v>237</c:v>
                </c:pt>
                <c:pt idx="4">
                  <c:v>211</c:v>
                </c:pt>
                <c:pt idx="5">
                  <c:v>135</c:v>
                </c:pt>
                <c:pt idx="6">
                  <c:v>318</c:v>
                </c:pt>
                <c:pt idx="7">
                  <c:v>193</c:v>
                </c:pt>
                <c:pt idx="8">
                  <c:v>206</c:v>
                </c:pt>
                <c:pt idx="9">
                  <c:v>580</c:v>
                </c:pt>
                <c:pt idx="10">
                  <c:v>84</c:v>
                </c:pt>
              </c:numCache>
            </c:numRef>
          </c:val>
        </c:ser>
        <c:ser>
          <c:idx val="1"/>
          <c:order val="1"/>
          <c:tx>
            <c:strRef>
              <c:f>Sheet1!$C$30</c:f>
              <c:strCache>
                <c:ptCount val="1"/>
                <c:pt idx="0">
                  <c:v>结案数</c:v>
                </c:pt>
              </c:strCache>
            </c:strRef>
          </c:tx>
          <c:cat>
            <c:strRef>
              <c:f>Sheet1!$A$31:$A$41</c:f>
              <c:strCache>
                <c:ptCount val="11"/>
                <c:pt idx="0">
                  <c:v>行政审判庭</c:v>
                </c:pt>
                <c:pt idx="1">
                  <c:v>民事审判第一庭</c:v>
                </c:pt>
                <c:pt idx="2">
                  <c:v>速裁审判庭</c:v>
                </c:pt>
                <c:pt idx="3">
                  <c:v>巡回法庭</c:v>
                </c:pt>
                <c:pt idx="4">
                  <c:v>长山人民法庭</c:v>
                </c:pt>
                <c:pt idx="5">
                  <c:v>乌兰图嘎人民法庭</c:v>
                </c:pt>
                <c:pt idx="6">
                  <c:v>民事审判第二庭</c:v>
                </c:pt>
                <c:pt idx="7">
                  <c:v>刑事审判庭</c:v>
                </c:pt>
                <c:pt idx="8">
                  <c:v>前郭人民法庭</c:v>
                </c:pt>
                <c:pt idx="9">
                  <c:v>诉讼服务中心</c:v>
                </c:pt>
                <c:pt idx="10">
                  <c:v>查干湖人民法庭</c:v>
                </c:pt>
              </c:strCache>
            </c:strRef>
          </c:cat>
          <c:val>
            <c:numRef>
              <c:f>Sheet1!$C$31:$C$41</c:f>
              <c:numCache>
                <c:formatCode>General</c:formatCode>
                <c:ptCount val="11"/>
                <c:pt idx="0">
                  <c:v>598</c:v>
                </c:pt>
                <c:pt idx="1">
                  <c:v>444</c:v>
                </c:pt>
                <c:pt idx="2">
                  <c:v>949</c:v>
                </c:pt>
                <c:pt idx="3">
                  <c:v>171</c:v>
                </c:pt>
                <c:pt idx="4">
                  <c:v>190</c:v>
                </c:pt>
                <c:pt idx="5">
                  <c:v>133</c:v>
                </c:pt>
                <c:pt idx="6">
                  <c:v>240</c:v>
                </c:pt>
                <c:pt idx="7">
                  <c:v>164</c:v>
                </c:pt>
                <c:pt idx="8">
                  <c:v>176</c:v>
                </c:pt>
                <c:pt idx="9">
                  <c:v>578</c:v>
                </c:pt>
                <c:pt idx="10">
                  <c:v>79</c:v>
                </c:pt>
              </c:numCache>
            </c:numRef>
          </c:val>
        </c:ser>
        <c:shape val="box"/>
        <c:axId val="261349760"/>
        <c:axId val="261352064"/>
        <c:axId val="0"/>
      </c:bar3DChart>
      <c:catAx>
        <c:axId val="261349760"/>
        <c:scaling>
          <c:orientation val="minMax"/>
        </c:scaling>
        <c:axPos val="b"/>
        <c:majorTickMark val="none"/>
        <c:tickLblPos val="nextTo"/>
        <c:crossAx val="261352064"/>
        <c:crosses val="autoZero"/>
        <c:auto val="1"/>
        <c:lblAlgn val="ctr"/>
        <c:lblOffset val="100"/>
      </c:catAx>
      <c:valAx>
        <c:axId val="2613520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61349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chemeClr val="tx1"/>
                </a:solidFill>
                <a:latin typeface="华文中宋" panose="02010600040101010101" pitchFamily="2" charset="-122"/>
                <a:ea typeface="华文中宋" panose="02010600040101010101" pitchFamily="2" charset="-122"/>
                <a:cs typeface="+mn-cs"/>
              </a:defRPr>
            </a:pP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各庭室结收比与结案率情况</a:t>
            </a:r>
          </a:p>
        </c:rich>
      </c:tx>
    </c:title>
    <c:plotArea>
      <c:layout>
        <c:manualLayout>
          <c:layoutTarget val="inner"/>
          <c:xMode val="edge"/>
          <c:yMode val="edge"/>
          <c:x val="0.15972222222222579"/>
          <c:y val="0.13460536897946004"/>
          <c:w val="0.77774127816382888"/>
          <c:h val="0.41227833763893601"/>
        </c:manualLayout>
      </c:layout>
      <c:lineChart>
        <c:grouping val="standard"/>
        <c:ser>
          <c:idx val="0"/>
          <c:order val="0"/>
          <c:tx>
            <c:strRef>
              <c:f>Sheet1!$B$114</c:f>
              <c:strCache>
                <c:ptCount val="1"/>
                <c:pt idx="0">
                  <c:v>结案率</c:v>
                </c:pt>
              </c:strCache>
            </c:strRef>
          </c:tx>
          <c:dLbls>
            <c:dLbl>
              <c:idx val="0"/>
              <c:layout>
                <c:manualLayout>
                  <c:x val="-1.1024918051002837E-2"/>
                  <c:y val="1.277416038813332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1024918051002837E-2"/>
                  <c:y val="1.596770048516670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1024918051002837E-2"/>
                  <c:y val="1.91612405822000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4699890734670444E-2"/>
                  <c:y val="2.23547806792332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9.1874317091691048E-3"/>
                  <c:y val="2.235478067923335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7.3499453673352222E-3"/>
                  <c:y val="9.5806202911000726E-3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4699890734670444E-2"/>
                  <c:y val="9.5806202911000726E-3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749726836676202E-3"/>
                  <c:y val="-1.9161240582199958E-2"/>
                </c:manualLayout>
              </c:layout>
              <c:dLblPos val="r"/>
              <c:showVal val="1"/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Sheet1!$A$115:$A$125</c:f>
              <c:strCache>
                <c:ptCount val="11"/>
                <c:pt idx="0">
                  <c:v>民一庭</c:v>
                </c:pt>
                <c:pt idx="1">
                  <c:v>民二庭</c:v>
                </c:pt>
                <c:pt idx="2">
                  <c:v>巡回法庭</c:v>
                </c:pt>
                <c:pt idx="3">
                  <c:v>刑事审判庭</c:v>
                </c:pt>
                <c:pt idx="4">
                  <c:v>行政审判庭</c:v>
                </c:pt>
                <c:pt idx="5">
                  <c:v>速裁审判庭</c:v>
                </c:pt>
                <c:pt idx="6">
                  <c:v>前郭人民法庭</c:v>
                </c:pt>
                <c:pt idx="7">
                  <c:v>长山人民法庭</c:v>
                </c:pt>
                <c:pt idx="8">
                  <c:v>乌兰图嘎人民法庭</c:v>
                </c:pt>
                <c:pt idx="9">
                  <c:v>诉讼服务中心</c:v>
                </c:pt>
                <c:pt idx="10">
                  <c:v>查干湖人民法庭</c:v>
                </c:pt>
              </c:strCache>
            </c:strRef>
          </c:cat>
          <c:val>
            <c:numRef>
              <c:f>Sheet1!$B$115:$B$125</c:f>
              <c:numCache>
                <c:formatCode>0.00%</c:formatCode>
                <c:ptCount val="11"/>
                <c:pt idx="0">
                  <c:v>0.82990000000000064</c:v>
                </c:pt>
                <c:pt idx="1">
                  <c:v>0.75470000000000215</c:v>
                </c:pt>
                <c:pt idx="2">
                  <c:v>0.72150000000000003</c:v>
                </c:pt>
                <c:pt idx="3">
                  <c:v>0.8497000000000019</c:v>
                </c:pt>
                <c:pt idx="4">
                  <c:v>0.86520000000000064</c:v>
                </c:pt>
                <c:pt idx="5">
                  <c:v>0.92320000000000002</c:v>
                </c:pt>
                <c:pt idx="6">
                  <c:v>0.85440000000000005</c:v>
                </c:pt>
                <c:pt idx="7">
                  <c:v>0.88129999999999997</c:v>
                </c:pt>
                <c:pt idx="8">
                  <c:v>0.97780000000000189</c:v>
                </c:pt>
                <c:pt idx="9">
                  <c:v>0.99660000000000004</c:v>
                </c:pt>
                <c:pt idx="10">
                  <c:v>0.9405</c:v>
                </c:pt>
              </c:numCache>
            </c:numRef>
          </c:val>
        </c:ser>
        <c:ser>
          <c:idx val="1"/>
          <c:order val="1"/>
          <c:tx>
            <c:strRef>
              <c:f>Sheet1!$C$114</c:f>
              <c:strCache>
                <c:ptCount val="1"/>
                <c:pt idx="0">
                  <c:v>结收比</c:v>
                </c:pt>
              </c:strCache>
            </c:strRef>
          </c:tx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Sheet1!$A$115:$A$125</c:f>
              <c:strCache>
                <c:ptCount val="11"/>
                <c:pt idx="0">
                  <c:v>民一庭</c:v>
                </c:pt>
                <c:pt idx="1">
                  <c:v>民二庭</c:v>
                </c:pt>
                <c:pt idx="2">
                  <c:v>巡回法庭</c:v>
                </c:pt>
                <c:pt idx="3">
                  <c:v>刑事审判庭</c:v>
                </c:pt>
                <c:pt idx="4">
                  <c:v>行政审判庭</c:v>
                </c:pt>
                <c:pt idx="5">
                  <c:v>速裁审判庭</c:v>
                </c:pt>
                <c:pt idx="6">
                  <c:v>前郭人民法庭</c:v>
                </c:pt>
                <c:pt idx="7">
                  <c:v>长山人民法庭</c:v>
                </c:pt>
                <c:pt idx="8">
                  <c:v>乌兰图嘎人民法庭</c:v>
                </c:pt>
                <c:pt idx="9">
                  <c:v>诉讼服务中心</c:v>
                </c:pt>
                <c:pt idx="10">
                  <c:v>查干湖人民法庭</c:v>
                </c:pt>
              </c:strCache>
            </c:strRef>
          </c:cat>
          <c:val>
            <c:numRef>
              <c:f>Sheet1!$C$115:$C$125</c:f>
              <c:numCache>
                <c:formatCode>0.00%</c:formatCode>
                <c:ptCount val="11"/>
                <c:pt idx="0">
                  <c:v>1.0622</c:v>
                </c:pt>
                <c:pt idx="1">
                  <c:v>1.1537999999999966</c:v>
                </c:pt>
                <c:pt idx="2">
                  <c:v>0.95530000000000004</c:v>
                </c:pt>
                <c:pt idx="3">
                  <c:v>1.1233</c:v>
                </c:pt>
                <c:pt idx="4">
                  <c:v>1.0152999999999961</c:v>
                </c:pt>
                <c:pt idx="5">
                  <c:v>0.97729999999999995</c:v>
                </c:pt>
                <c:pt idx="6">
                  <c:v>1.1503000000000001</c:v>
                </c:pt>
                <c:pt idx="7">
                  <c:v>1.0144</c:v>
                </c:pt>
                <c:pt idx="8">
                  <c:v>1.1892</c:v>
                </c:pt>
                <c:pt idx="9">
                  <c:v>0.99829999999999997</c:v>
                </c:pt>
                <c:pt idx="10">
                  <c:v>1.1286</c:v>
                </c:pt>
              </c:numCache>
            </c:numRef>
          </c:val>
        </c:ser>
        <c:dLbls>
          <c:showVal val="1"/>
        </c:dLbls>
        <c:marker val="1"/>
        <c:axId val="377960704"/>
        <c:axId val="378985088"/>
      </c:lineChart>
      <c:catAx>
        <c:axId val="377960704"/>
        <c:scaling>
          <c:orientation val="minMax"/>
        </c:scaling>
        <c:axPos val="b"/>
        <c:numFmt formatCode="0.00%" sourceLinked="1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8985088"/>
        <c:crosses val="autoZero"/>
        <c:auto val="1"/>
        <c:lblAlgn val="ctr"/>
        <c:lblOffset val="100"/>
      </c:catAx>
      <c:valAx>
        <c:axId val="378985088"/>
        <c:scaling>
          <c:orientation val="minMax"/>
          <c:max val="1.000000000000002"/>
          <c:min val="5.0000000000002001E-2"/>
        </c:scaling>
        <c:axPos val="l"/>
        <c:majorGridlines/>
        <c:minorGridlines/>
        <c:numFmt formatCode="0.00%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7960704"/>
        <c:crosses val="autoZero"/>
        <c:crossBetween val="between"/>
        <c:majorUnit val="0.1"/>
        <c:minorUnit val="0.05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50" kern="1100" baseline="0"/>
            </a:pPr>
            <a:endParaRPr lang="zh-CN"/>
          </a:p>
        </c:txPr>
      </c:dTable>
    </c:plotArea>
    <c:legend>
      <c:legendPos val="b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0" i="0" u="none" strike="noStrike" kern="1200" baseline="0">
                <a:solidFill>
                  <a:schemeClr val="tx1"/>
                </a:solidFill>
                <a:latin typeface="华文中宋" panose="02010600040101010101" pitchFamily="2" charset="-122"/>
                <a:ea typeface="华文中宋" panose="02010600040101010101" pitchFamily="2" charset="-122"/>
                <a:cs typeface="+mn-cs"/>
              </a:defRPr>
            </a:pPr>
            <a:r>
              <a:rPr lang="zh-CN" altLang="en-US" sz="1200" b="0">
                <a:latin typeface="华文中宋" panose="02010600040101010101" pitchFamily="2" charset="-122"/>
                <a:ea typeface="华文中宋" panose="02010600040101010101" pitchFamily="2" charset="-122"/>
              </a:rPr>
              <a:t>本院各庭室旧存案件占比情况</a:t>
            </a:r>
          </a:p>
        </c:rich>
      </c:tx>
    </c:title>
    <c:plotArea>
      <c:layout>
        <c:manualLayout>
          <c:layoutTarget val="inner"/>
          <c:xMode val="edge"/>
          <c:yMode val="edge"/>
          <c:x val="0.15972222222223009"/>
          <c:y val="0.13460536897946004"/>
          <c:w val="0.77774127816386396"/>
          <c:h val="0.4122783376389360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旧存案件占比</c:v>
                </c:pt>
              </c:strCache>
            </c:strRef>
          </c:tx>
          <c:dLbls>
            <c:dLbl>
              <c:idx val="0"/>
              <c:layout>
                <c:manualLayout>
                  <c:x val="-4.9388992406222132E-2"/>
                  <c:y val="-6.134258141174902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8164221404807505E-2"/>
                  <c:y val="-5.19052611945567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654129805373017E-2"/>
                  <c:y val="-5.66239213031527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4899084005655933E-2"/>
                  <c:y val="-5.19056327425967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4899084005655933E-2"/>
                  <c:y val="-5.19052611945567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2654129805373107E-2"/>
                  <c:y val="-5.66239213031527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2654129805373232E-2"/>
                  <c:y val="-4.246794097736459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2654129805373107E-2"/>
                  <c:y val="-5.19052611945567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5919267204525242E-2"/>
                  <c:y val="-4.718660108596091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1429358803959216E-2"/>
                  <c:y val="-7.549856173753713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0204587802545106E-2"/>
                  <c:y val="-5.6623921303152712E-2"/>
                </c:manualLayout>
              </c:layout>
              <c:tx>
                <c:rich>
                  <a:bodyPr/>
                  <a:lstStyle/>
                  <a:p>
                    <a:r>
                      <a:rPr altLang="en-US"/>
                      <a:t>0</a:t>
                    </a:r>
                    <a:r>
                      <a:rPr lang="en-US" altLang="zh-CN"/>
                      <a:t>.00%</a:t>
                    </a:r>
                    <a:endParaRPr altLang="en-US"/>
                  </a:p>
                </c:rich>
              </c:tx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Sheet1!$A$2:$A$13</c:f>
              <c:strCache>
                <c:ptCount val="12"/>
                <c:pt idx="0">
                  <c:v>民一庭</c:v>
                </c:pt>
                <c:pt idx="1">
                  <c:v>民二庭</c:v>
                </c:pt>
                <c:pt idx="2">
                  <c:v>巡回法庭</c:v>
                </c:pt>
                <c:pt idx="3">
                  <c:v>刑事审判庭</c:v>
                </c:pt>
                <c:pt idx="4">
                  <c:v>行政审判庭</c:v>
                </c:pt>
                <c:pt idx="5">
                  <c:v>速裁审判庭</c:v>
                </c:pt>
                <c:pt idx="6">
                  <c:v>前郭人民法庭</c:v>
                </c:pt>
                <c:pt idx="7">
                  <c:v>长山人民法庭</c:v>
                </c:pt>
                <c:pt idx="8">
                  <c:v>乌兰图嘎人民法庭</c:v>
                </c:pt>
                <c:pt idx="9">
                  <c:v>查干湖人民法庭</c:v>
                </c:pt>
                <c:pt idx="10">
                  <c:v>王府人民法庭</c:v>
                </c:pt>
                <c:pt idx="11">
                  <c:v>诉讼服务中心</c:v>
                </c:pt>
              </c:strCache>
            </c:strRef>
          </c:cat>
          <c:val>
            <c:numRef>
              <c:f>Sheet1!$B$2:$B$13</c:f>
              <c:numCache>
                <c:formatCode>0.00%</c:formatCode>
                <c:ptCount val="12"/>
                <c:pt idx="0">
                  <c:v>0.21970000000000045</c:v>
                </c:pt>
                <c:pt idx="1">
                  <c:v>0.35260000000000002</c:v>
                </c:pt>
                <c:pt idx="2">
                  <c:v>0.24140000000000039</c:v>
                </c:pt>
                <c:pt idx="3">
                  <c:v>0.24350000000000024</c:v>
                </c:pt>
                <c:pt idx="4">
                  <c:v>0.14880000000000004</c:v>
                </c:pt>
                <c:pt idx="5">
                  <c:v>5.5400000000000033E-2</c:v>
                </c:pt>
                <c:pt idx="6">
                  <c:v>0.25719999999999998</c:v>
                </c:pt>
                <c:pt idx="7">
                  <c:v>0.1313</c:v>
                </c:pt>
                <c:pt idx="8">
                  <c:v>0.17780000000000001</c:v>
                </c:pt>
                <c:pt idx="9">
                  <c:v>0.16669999999999999</c:v>
                </c:pt>
                <c:pt idx="10">
                  <c:v>0.12120000000000018</c:v>
                </c:pt>
                <c:pt idx="11">
                  <c:v>1.700000000000004E-3</c:v>
                </c:pt>
              </c:numCache>
            </c:numRef>
          </c:val>
        </c:ser>
        <c:dLbls>
          <c:showVal val="1"/>
        </c:dLbls>
        <c:marker val="1"/>
        <c:axId val="60269696"/>
        <c:axId val="60271232"/>
      </c:lineChart>
      <c:catAx>
        <c:axId val="60269696"/>
        <c:scaling>
          <c:orientation val="minMax"/>
        </c:scaling>
        <c:axPos val="b"/>
        <c:majorTickMark val="none"/>
        <c:tickLblPos val="none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0271232"/>
        <c:crosses val="autoZero"/>
        <c:auto val="1"/>
        <c:lblAlgn val="ctr"/>
        <c:lblOffset val="100"/>
      </c:catAx>
      <c:valAx>
        <c:axId val="60271232"/>
        <c:scaling>
          <c:orientation val="minMax"/>
        </c:scaling>
        <c:axPos val="l"/>
        <c:majorGridlines/>
        <c:numFmt formatCode="0.00%" sourceLinked="0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0269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 rtl="0"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</c:dTable>
    </c:plotArea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200">
                <a:latin typeface="黑体" pitchFamily="49" charset="-122"/>
                <a:ea typeface="黑体" pitchFamily="49" charset="-122"/>
              </a:defRPr>
            </a:pPr>
            <a:r>
              <a:rPr lang="en-US" altLang="zh-CN" sz="1200">
                <a:latin typeface="黑体" pitchFamily="49" charset="-122"/>
                <a:ea typeface="黑体" pitchFamily="49" charset="-122"/>
              </a:rPr>
              <a:t>2023</a:t>
            </a:r>
            <a:r>
              <a:rPr lang="zh-CN" altLang="en-US" sz="1200">
                <a:latin typeface="黑体" pitchFamily="49" charset="-122"/>
                <a:ea typeface="黑体" pitchFamily="49" charset="-122"/>
              </a:rPr>
              <a:t>年</a:t>
            </a:r>
            <a:r>
              <a:rPr lang="en-US" altLang="zh-CN" sz="1200">
                <a:latin typeface="黑体" pitchFamily="49" charset="-122"/>
                <a:ea typeface="黑体" pitchFamily="49" charset="-122"/>
              </a:rPr>
              <a:t>1-6</a:t>
            </a:r>
            <a:r>
              <a:rPr lang="zh-CN" altLang="en-US" sz="1200">
                <a:latin typeface="黑体" pitchFamily="49" charset="-122"/>
                <a:ea typeface="黑体" pitchFamily="49" charset="-122"/>
              </a:rPr>
              <a:t>月前郭法院业务部门人均受案、结案图</a:t>
            </a:r>
          </a:p>
        </c:rich>
      </c:tx>
    </c:title>
    <c:view3D>
      <c:rotX val="0"/>
      <c:rotY val="0"/>
      <c:depthPercent val="90"/>
      <c:perspective val="60"/>
    </c:view3D>
    <c:plotArea>
      <c:layout>
        <c:manualLayout>
          <c:layoutTarget val="inner"/>
          <c:xMode val="edge"/>
          <c:yMode val="edge"/>
          <c:x val="0.24090293270964191"/>
          <c:y val="0.2782135286754438"/>
          <c:w val="0.71680872371118665"/>
          <c:h val="0.70807610655868536"/>
        </c:manualLayout>
      </c:layout>
      <c:bar3DChart>
        <c:barDir val="bar"/>
        <c:grouping val="clustered"/>
        <c:ser>
          <c:idx val="2"/>
          <c:order val="2"/>
          <c:tx>
            <c:strRef>
              <c:f>Sheet1!$B$52</c:f>
            </c:strRef>
          </c:tx>
          <c:dLbls>
            <c:showVal val="1"/>
          </c:dLbls>
          <c:cat>
            <c:multiLvlStrRef>
              <c:f>Sheet1!$A$53:$A$63</c:f>
            </c:multiLvlStrRef>
          </c:cat>
          <c:val>
            <c:numRef>
              <c:f>Sheet1!$B$53:$B$63</c:f>
            </c:numRef>
          </c:val>
        </c:ser>
        <c:ser>
          <c:idx val="3"/>
          <c:order val="3"/>
          <c:tx>
            <c:strRef>
              <c:f>Sheet1!$C$52</c:f>
            </c:strRef>
          </c:tx>
          <c:dLbls>
            <c:showVal val="1"/>
          </c:dLbls>
          <c:cat>
            <c:multiLvlStrRef>
              <c:f>Sheet1!$A$53:$A$63</c:f>
            </c:multiLvlStrRef>
          </c:cat>
          <c:val>
            <c:numRef>
              <c:f>Sheet1!$C$53:$C$63</c:f>
            </c:numRef>
          </c:val>
        </c:ser>
        <c:ser>
          <c:idx val="0"/>
          <c:order val="0"/>
          <c:tx>
            <c:strRef>
              <c:f>'[哈哈(1).xlsx]Sheet1'!$B$52</c:f>
              <c:strCache>
                <c:ptCount val="1"/>
                <c:pt idx="0">
                  <c:v>人均受案数</c:v>
                </c:pt>
              </c:strCache>
            </c:strRef>
          </c:tx>
          <c:dLbls>
            <c:showVal val="1"/>
          </c:dLbls>
          <c:cat>
            <c:strRef>
              <c:f>'[哈哈(1).xlsx]Sheet1'!$A$53:$A$63</c:f>
              <c:strCache>
                <c:ptCount val="11"/>
                <c:pt idx="0">
                  <c:v>民事审判第一庭</c:v>
                </c:pt>
                <c:pt idx="1">
                  <c:v>民事审判第二庭</c:v>
                </c:pt>
                <c:pt idx="2">
                  <c:v>巡回法庭</c:v>
                </c:pt>
                <c:pt idx="3">
                  <c:v>刑事审判庭</c:v>
                </c:pt>
                <c:pt idx="4">
                  <c:v>行政审判庭</c:v>
                </c:pt>
                <c:pt idx="5">
                  <c:v>速裁审判庭</c:v>
                </c:pt>
                <c:pt idx="6">
                  <c:v>前郭人民法庭</c:v>
                </c:pt>
                <c:pt idx="7">
                  <c:v>长山人民法庭</c:v>
                </c:pt>
                <c:pt idx="8">
                  <c:v>乌兰图嘎人民法庭</c:v>
                </c:pt>
                <c:pt idx="9">
                  <c:v>诉讼服务中心</c:v>
                </c:pt>
                <c:pt idx="10">
                  <c:v>查干湖人民法庭</c:v>
                </c:pt>
              </c:strCache>
            </c:strRef>
          </c:cat>
          <c:val>
            <c:numRef>
              <c:f>'[哈哈(1).xlsx]Sheet1'!$B$53:$B$63</c:f>
              <c:numCache>
                <c:formatCode>General</c:formatCode>
                <c:ptCount val="11"/>
                <c:pt idx="0">
                  <c:v>107.4</c:v>
                </c:pt>
                <c:pt idx="1">
                  <c:v>78</c:v>
                </c:pt>
                <c:pt idx="2">
                  <c:v>58</c:v>
                </c:pt>
                <c:pt idx="3">
                  <c:v>48.25</c:v>
                </c:pt>
                <c:pt idx="4">
                  <c:v>173</c:v>
                </c:pt>
                <c:pt idx="5">
                  <c:v>171.33</c:v>
                </c:pt>
                <c:pt idx="6">
                  <c:v>68.669999999999987</c:v>
                </c:pt>
                <c:pt idx="7">
                  <c:v>80</c:v>
                </c:pt>
                <c:pt idx="8">
                  <c:v>67.5</c:v>
                </c:pt>
                <c:pt idx="9">
                  <c:v>193.33</c:v>
                </c:pt>
                <c:pt idx="10">
                  <c:v>84</c:v>
                </c:pt>
              </c:numCache>
            </c:numRef>
          </c:val>
        </c:ser>
        <c:ser>
          <c:idx val="1"/>
          <c:order val="1"/>
          <c:tx>
            <c:strRef>
              <c:f>'[哈哈(1).xlsx]Sheet1'!$C$52</c:f>
              <c:strCache>
                <c:ptCount val="1"/>
                <c:pt idx="0">
                  <c:v>人均结案数</c:v>
                </c:pt>
              </c:strCache>
            </c:strRef>
          </c:tx>
          <c:dLbls>
            <c:showVal val="1"/>
          </c:dLbls>
          <c:cat>
            <c:strRef>
              <c:f>'[哈哈(1).xlsx]Sheet1'!$A$53:$A$63</c:f>
              <c:strCache>
                <c:ptCount val="11"/>
                <c:pt idx="0">
                  <c:v>民事审判第一庭</c:v>
                </c:pt>
                <c:pt idx="1">
                  <c:v>民事审判第二庭</c:v>
                </c:pt>
                <c:pt idx="2">
                  <c:v>巡回法庭</c:v>
                </c:pt>
                <c:pt idx="3">
                  <c:v>刑事审判庭</c:v>
                </c:pt>
                <c:pt idx="4">
                  <c:v>行政审判庭</c:v>
                </c:pt>
                <c:pt idx="5">
                  <c:v>速裁审判庭</c:v>
                </c:pt>
                <c:pt idx="6">
                  <c:v>前郭人民法庭</c:v>
                </c:pt>
                <c:pt idx="7">
                  <c:v>长山人民法庭</c:v>
                </c:pt>
                <c:pt idx="8">
                  <c:v>乌兰图嘎人民法庭</c:v>
                </c:pt>
                <c:pt idx="9">
                  <c:v>诉讼服务中心</c:v>
                </c:pt>
                <c:pt idx="10">
                  <c:v>查干湖人民法庭</c:v>
                </c:pt>
              </c:strCache>
            </c:strRef>
          </c:cat>
          <c:val>
            <c:numRef>
              <c:f>'[哈哈(1).xlsx]Sheet1'!$C$53:$C$63</c:f>
              <c:numCache>
                <c:formatCode>General</c:formatCode>
                <c:ptCount val="11"/>
                <c:pt idx="0">
                  <c:v>88.8</c:v>
                </c:pt>
                <c:pt idx="1">
                  <c:v>59.25</c:v>
                </c:pt>
                <c:pt idx="2">
                  <c:v>42.5</c:v>
                </c:pt>
                <c:pt idx="3">
                  <c:v>41</c:v>
                </c:pt>
                <c:pt idx="4">
                  <c:v>149.25</c:v>
                </c:pt>
                <c:pt idx="5">
                  <c:v>158.16999999999999</c:v>
                </c:pt>
                <c:pt idx="6">
                  <c:v>58.67</c:v>
                </c:pt>
                <c:pt idx="7">
                  <c:v>70.5</c:v>
                </c:pt>
                <c:pt idx="8">
                  <c:v>66</c:v>
                </c:pt>
                <c:pt idx="9">
                  <c:v>192.67</c:v>
                </c:pt>
                <c:pt idx="10">
                  <c:v>79</c:v>
                </c:pt>
              </c:numCache>
            </c:numRef>
          </c:val>
        </c:ser>
        <c:dLbls>
          <c:showVal val="1"/>
        </c:dLbls>
        <c:shape val="box"/>
        <c:axId val="71634944"/>
        <c:axId val="71636480"/>
        <c:axId val="0"/>
      </c:bar3DChart>
      <c:catAx>
        <c:axId val="71634944"/>
        <c:scaling>
          <c:orientation val="maxMin"/>
        </c:scaling>
        <c:axPos val="l"/>
        <c:tickLblPos val="nextTo"/>
        <c:crossAx val="71636480"/>
        <c:crosses val="autoZero"/>
        <c:auto val="1"/>
        <c:lblAlgn val="ctr"/>
        <c:lblOffset val="100"/>
      </c:catAx>
      <c:valAx>
        <c:axId val="71636480"/>
        <c:scaling>
          <c:orientation val="minMax"/>
        </c:scaling>
        <c:axPos val="t"/>
        <c:majorGridlines>
          <c:spPr>
            <a:effectLst>
              <a:outerShdw blurRad="50800" dist="50800" dir="5400000" sx="67000" sy="67000" algn="ctr" rotWithShape="0">
                <a:srgbClr val="000000">
                  <a:alpha val="43137"/>
                </a:srgbClr>
              </a:outerShdw>
            </a:effectLst>
          </c:spPr>
        </c:majorGridlines>
        <c:numFmt formatCode="General" sourceLinked="1"/>
        <c:minorTickMark val="cross"/>
        <c:tickLblPos val="low"/>
        <c:spPr>
          <a:ln w="9525">
            <a:noFill/>
          </a:ln>
        </c:spPr>
        <c:txPr>
          <a:bodyPr rot="0" anchor="b" anchorCtr="0"/>
          <a:lstStyle/>
          <a:p>
            <a:pPr>
              <a:defRPr/>
            </a:pPr>
            <a:endParaRPr lang="zh-CN"/>
          </a:p>
        </c:txPr>
        <c:crossAx val="71634944"/>
        <c:crosses val="autoZero"/>
        <c:crossBetween val="between"/>
      </c:valAx>
    </c:plotArea>
    <c:legend>
      <c:legendPos val="t"/>
    </c:legend>
    <c:plotVisOnly val="1"/>
  </c:chart>
  <c:spPr>
    <a:scene3d>
      <a:camera prst="orthographicFront"/>
      <a:lightRig rig="threePt" dir="t"/>
    </a:scene3d>
    <a:sp3d>
      <a:bevelT w="0"/>
    </a:sp3d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4B2DF4D2-A484-419C-A2EE-DF3E5FE9A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9</Pages>
  <Words>532</Words>
  <Characters>3038</Characters>
  <Application>Microsoft Office Word</Application>
  <DocSecurity>0</DocSecurity>
  <Lines>25</Lines>
  <Paragraphs>7</Paragraphs>
  <ScaleCrop>false</ScaleCrop>
  <Company>微软中国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cp:lastPrinted>2021-07-23T06:01:00Z</cp:lastPrinted>
  <dcterms:created xsi:type="dcterms:W3CDTF">2023-07-13T02:48:00Z</dcterms:created>
  <dcterms:modified xsi:type="dcterms:W3CDTF">2023-10-10T07:18:00Z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